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技术</w:t>
      </w:r>
      <w:r>
        <w:rPr>
          <w:rFonts w:hint="eastAsia" w:ascii="仿宋" w:hAnsi="仿宋" w:eastAsia="仿宋" w:cs="仿宋"/>
          <w:color w:val="000000" w:themeColor="text1"/>
          <w:sz w:val="24"/>
          <w:szCs w:val="24"/>
          <w:lang w:val="en-US" w:eastAsia="zh-CN"/>
          <w14:textFill>
            <w14:solidFill>
              <w14:schemeClr w14:val="tx1"/>
            </w14:solidFill>
          </w14:textFill>
        </w:rPr>
        <w:t>参数及</w:t>
      </w:r>
      <w:r>
        <w:rPr>
          <w:rFonts w:hint="eastAsia" w:ascii="仿宋" w:hAnsi="仿宋" w:eastAsia="仿宋" w:cs="仿宋"/>
          <w:color w:val="000000" w:themeColor="text1"/>
          <w:sz w:val="24"/>
          <w:szCs w:val="24"/>
          <w:lang w:eastAsia="zh-CN"/>
          <w14:textFill>
            <w14:solidFill>
              <w14:schemeClr w14:val="tx1"/>
            </w14:solidFill>
          </w14:textFill>
        </w:rPr>
        <w:t>要求：</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7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模块名</w:t>
            </w:r>
            <w:r>
              <w:rPr>
                <w:rFonts w:hint="eastAsia" w:ascii="仿宋" w:hAnsi="仿宋" w:eastAsia="仿宋" w:cs="仿宋"/>
                <w:color w:val="000000" w:themeColor="text1"/>
                <w:sz w:val="24"/>
                <w:szCs w:val="24"/>
                <w14:textFill>
                  <w14:solidFill>
                    <w14:schemeClr w14:val="tx1"/>
                  </w14:solidFill>
                </w14:textFill>
              </w:rPr>
              <w:t>称</w:t>
            </w:r>
          </w:p>
        </w:tc>
        <w:tc>
          <w:tcPr>
            <w:tcW w:w="7075" w:type="dxa"/>
          </w:tcPr>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功能说</w:t>
            </w:r>
            <w:r>
              <w:rPr>
                <w:rFonts w:hint="eastAsia" w:ascii="仿宋" w:hAnsi="仿宋" w:eastAsia="仿宋" w:cs="仿宋"/>
                <w:color w:val="000000" w:themeColor="text1"/>
                <w:sz w:val="24"/>
                <w:szCs w:val="24"/>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restart"/>
            <w:vAlign w:val="center"/>
          </w:tcPr>
          <w:p>
            <w:pPr>
              <w:spacing w:after="0"/>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基础</w:t>
            </w:r>
          </w:p>
        </w:tc>
        <w:tc>
          <w:tcPr>
            <w:tcW w:w="7075" w:type="dxa"/>
          </w:tcPr>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数据采集功能：从医院HIS、LIS、PACS、电子病历等系统中提取疾病分析、上报过程中需要的数据，为上报提醒、报卡填报辅助提供原始数据支持；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pPr>
              <w:spacing w:after="0"/>
              <w:rPr>
                <w:rFonts w:hint="eastAsia" w:ascii="仿宋" w:hAnsi="仿宋" w:eastAsia="仿宋" w:cs="仿宋"/>
                <w:color w:val="000000" w:themeColor="text1"/>
                <w:sz w:val="24"/>
                <w:szCs w:val="24"/>
                <w14:textFill>
                  <w14:solidFill>
                    <w14:schemeClr w14:val="tx1"/>
                  </w14:solidFill>
                </w14:textFill>
              </w:rPr>
            </w:pPr>
          </w:p>
        </w:tc>
        <w:tc>
          <w:tcPr>
            <w:tcW w:w="7075" w:type="dxa"/>
          </w:tcPr>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提醒功能：提供电脑右下角弹窗机制，及时通知医生应登录系统填写有关报卡，有效解决迟报问题。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pPr>
              <w:spacing w:after="0"/>
              <w:rPr>
                <w:rFonts w:hint="eastAsia" w:ascii="仿宋" w:hAnsi="仿宋" w:eastAsia="仿宋" w:cs="仿宋"/>
                <w:color w:val="000000" w:themeColor="text1"/>
                <w:sz w:val="24"/>
                <w:szCs w:val="24"/>
                <w14:textFill>
                  <w14:solidFill>
                    <w14:schemeClr w14:val="tx1"/>
                  </w14:solidFill>
                </w14:textFill>
              </w:rPr>
            </w:pPr>
          </w:p>
        </w:tc>
        <w:tc>
          <w:tcPr>
            <w:tcW w:w="7075" w:type="dxa"/>
          </w:tcPr>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干预记录功能：对在处理疾病信息过程中公共卫生科与医生相关的讨论情况进行记录，以更好保留相关病例的讨论历史。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pPr>
              <w:spacing w:after="0"/>
              <w:rPr>
                <w:rFonts w:hint="eastAsia" w:ascii="仿宋" w:hAnsi="仿宋" w:eastAsia="仿宋" w:cs="仿宋"/>
                <w:color w:val="000000" w:themeColor="text1"/>
                <w:sz w:val="24"/>
                <w:szCs w:val="24"/>
                <w14:textFill>
                  <w14:solidFill>
                    <w14:schemeClr w14:val="tx1"/>
                  </w14:solidFill>
                </w14:textFill>
              </w:rPr>
            </w:pPr>
          </w:p>
        </w:tc>
        <w:tc>
          <w:tcPr>
            <w:tcW w:w="7075" w:type="dxa"/>
          </w:tcPr>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通知公告功能：提供方便易用的通知机制，可以</w:t>
            </w:r>
            <w:bookmarkStart w:id="0" w:name="_GoBack"/>
            <w:bookmarkEnd w:id="0"/>
            <w:r>
              <w:rPr>
                <w:rFonts w:hint="eastAsia" w:ascii="仿宋" w:hAnsi="仿宋" w:eastAsia="仿宋" w:cs="仿宋"/>
                <w:color w:val="000000" w:themeColor="text1"/>
                <w:sz w:val="24"/>
                <w:szCs w:val="24"/>
                <w14:textFill>
                  <w14:solidFill>
                    <w14:schemeClr w14:val="tx1"/>
                  </w14:solidFill>
                </w14:textFill>
              </w:rPr>
              <w:t>针对指定人群下发必须查看的通知，或广播性发送通知（公告），为各种疾病提醒提供有力支持，也为日常工作提供方便的消息传送支持。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pPr>
              <w:spacing w:after="0"/>
              <w:rPr>
                <w:rFonts w:hint="eastAsia" w:ascii="仿宋" w:hAnsi="仿宋" w:eastAsia="仿宋" w:cs="仿宋"/>
                <w:color w:val="000000" w:themeColor="text1"/>
                <w:sz w:val="24"/>
                <w:szCs w:val="24"/>
                <w14:textFill>
                  <w14:solidFill>
                    <w14:schemeClr w14:val="tx1"/>
                  </w14:solidFill>
                </w14:textFill>
              </w:rPr>
            </w:pPr>
          </w:p>
        </w:tc>
        <w:tc>
          <w:tcPr>
            <w:tcW w:w="7075" w:type="dxa"/>
          </w:tcPr>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强制填卡接口：以 WebAPI 和 WebService 方式提供与HIS、住院病历、门诊病历或其他系统对接的接口，其他系统可以根据接口返回结果进行限制，以强制医生完成传染病等各种报卡填报后才能继续其他操作（如开医嘱、提交病历等）。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restart"/>
            <w:vAlign w:val="center"/>
          </w:tcPr>
          <w:p>
            <w:pPr>
              <w:spacing w:after="0"/>
              <w:ind w:firstLine="0"/>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传染病</w:t>
            </w:r>
          </w:p>
        </w:tc>
        <w:tc>
          <w:tcPr>
            <w:tcW w:w="7075" w:type="dxa"/>
          </w:tcPr>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疑似病例识别及提醒：通过与HIS、LIS、PACS、电子病历的对接，自动识别出需要填写传染病报告卡的病例，并提醒医师填写传染病报告卡，具体识别规则包括：</w:t>
            </w:r>
          </w:p>
          <w:p>
            <w:pPr>
              <w:pStyle w:val="6"/>
              <w:numPr>
                <w:ilvl w:val="0"/>
                <w:numId w:val="2"/>
              </w:numPr>
              <w:spacing w:after="0" w:line="240" w:lineRule="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根据HIS、电子病历中的诊断提醒</w:t>
            </w:r>
          </w:p>
          <w:p>
            <w:pPr>
              <w:pStyle w:val="6"/>
              <w:numPr>
                <w:ilvl w:val="0"/>
                <w:numId w:val="2"/>
              </w:numPr>
              <w:spacing w:after="0" w:line="240" w:lineRule="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根据电子病历</w:t>
            </w:r>
            <w:r>
              <w:rPr>
                <w:rFonts w:hint="eastAsia" w:ascii="仿宋" w:hAnsi="仿宋" w:eastAsia="仿宋" w:cs="仿宋"/>
                <w:color w:val="000000" w:themeColor="text1"/>
                <w:sz w:val="24"/>
                <w:szCs w:val="24"/>
                <w14:textFill>
                  <w14:solidFill>
                    <w14:schemeClr w14:val="tx1"/>
                  </w14:solidFill>
                </w14:textFill>
              </w:rPr>
              <w:t>中的关键字进行提醒</w:t>
            </w:r>
          </w:p>
          <w:p>
            <w:pPr>
              <w:pStyle w:val="6"/>
              <w:numPr>
                <w:ilvl w:val="0"/>
                <w:numId w:val="2"/>
              </w:numPr>
              <w:spacing w:after="0" w:line="240" w:lineRule="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根据LIS检验阳性结果提醒</w:t>
            </w:r>
          </w:p>
          <w:p>
            <w:pPr>
              <w:pStyle w:val="6"/>
              <w:numPr>
                <w:ilvl w:val="0"/>
                <w:numId w:val="2"/>
              </w:numPr>
              <w:spacing w:after="0" w:line="240" w:lineRule="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根据影像检查阳性结果提醒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pPr>
              <w:spacing w:after="0"/>
              <w:rPr>
                <w:rFonts w:hint="eastAsia" w:ascii="仿宋" w:hAnsi="仿宋" w:eastAsia="仿宋" w:cs="仿宋"/>
                <w:color w:val="000000" w:themeColor="text1"/>
                <w:sz w:val="24"/>
                <w:szCs w:val="24"/>
                <w14:textFill>
                  <w14:solidFill>
                    <w14:schemeClr w14:val="tx1"/>
                  </w14:solidFill>
                </w14:textFill>
              </w:rPr>
            </w:pPr>
          </w:p>
        </w:tc>
        <w:tc>
          <w:tcPr>
            <w:tcW w:w="7075" w:type="dxa"/>
          </w:tcPr>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疑似病例查看（待上报）：公共卫生人员可以查看系统识别出的待上报传染病病例，对待上报病做进一步的预判断及处理。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pPr>
              <w:spacing w:after="0"/>
              <w:rPr>
                <w:rFonts w:hint="eastAsia" w:ascii="仿宋" w:hAnsi="仿宋" w:eastAsia="仿宋" w:cs="仿宋"/>
                <w:color w:val="000000" w:themeColor="text1"/>
                <w:sz w:val="24"/>
                <w:szCs w:val="24"/>
                <w14:textFill>
                  <w14:solidFill>
                    <w14:schemeClr w14:val="tx1"/>
                  </w14:solidFill>
                </w14:textFill>
              </w:rPr>
            </w:pPr>
          </w:p>
        </w:tc>
        <w:tc>
          <w:tcPr>
            <w:tcW w:w="7075" w:type="dxa"/>
          </w:tcPr>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报卡审核：对医师上报的传染病报卡做进一步检查，是否确实需要上报，相关内容是否需要修改。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pPr>
              <w:spacing w:after="0"/>
              <w:rPr>
                <w:rFonts w:hint="eastAsia" w:ascii="仿宋" w:hAnsi="仿宋" w:eastAsia="仿宋" w:cs="仿宋"/>
                <w:color w:val="000000" w:themeColor="text1"/>
                <w:sz w:val="24"/>
                <w:szCs w:val="24"/>
                <w14:textFill>
                  <w14:solidFill>
                    <w14:schemeClr w14:val="tx1"/>
                  </w14:solidFill>
                </w14:textFill>
              </w:rPr>
            </w:pPr>
          </w:p>
        </w:tc>
        <w:tc>
          <w:tcPr>
            <w:tcW w:w="7075" w:type="dxa"/>
          </w:tcPr>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报卡网络直报：提供方便的数据传送方式，可以适应各种网络环境。将内网填报好的传染病报卡数据，一键传送到位于外网的直报电脑中，并自动完成直报数据的填写，直报人员对数据进行复核后点击保存按钮即可完成上报。</w:t>
            </w:r>
          </w:p>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支持</w:t>
            </w:r>
            <w:r>
              <w:rPr>
                <w:rFonts w:hint="eastAsia" w:ascii="仿宋" w:hAnsi="仿宋" w:eastAsia="仿宋" w:cs="仿宋"/>
                <w:color w:val="000000" w:themeColor="text1"/>
                <w:sz w:val="24"/>
                <w:szCs w:val="24"/>
                <w14:textFill>
                  <w14:solidFill>
                    <w14:schemeClr w14:val="tx1"/>
                  </w14:solidFill>
                </w14:textFill>
              </w:rPr>
              <w:t>在内</w:t>
            </w:r>
            <w:r>
              <w:rPr>
                <w:rFonts w:hint="eastAsia" w:ascii="仿宋" w:hAnsi="仿宋" w:eastAsia="仿宋" w:cs="仿宋"/>
                <w:color w:val="000000" w:themeColor="text1"/>
                <w:sz w:val="24"/>
                <w:szCs w:val="24"/>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外网</w:t>
            </w:r>
            <w:r>
              <w:rPr>
                <w:rFonts w:hint="eastAsia" w:ascii="仿宋" w:hAnsi="仿宋" w:eastAsia="仿宋" w:cs="仿宋"/>
                <w:color w:val="000000" w:themeColor="text1"/>
                <w:sz w:val="24"/>
                <w:szCs w:val="24"/>
                <w14:textFill>
                  <w14:solidFill>
                    <w14:schemeClr w14:val="tx1"/>
                  </w14:solidFill>
                </w14:textFill>
              </w:rPr>
              <w:t>物理</w:t>
            </w:r>
            <w:r>
              <w:rPr>
                <w:rFonts w:hint="eastAsia" w:ascii="仿宋" w:hAnsi="仿宋" w:eastAsia="仿宋" w:cs="仿宋"/>
                <w:color w:val="000000" w:themeColor="text1"/>
                <w:sz w:val="24"/>
                <w:szCs w:val="24"/>
                <w14:textFill>
                  <w14:solidFill>
                    <w14:schemeClr w14:val="tx1"/>
                  </w14:solidFill>
                </w14:textFill>
              </w:rPr>
              <w:t>隔离的</w:t>
            </w:r>
            <w:r>
              <w:rPr>
                <w:rFonts w:hint="eastAsia" w:ascii="仿宋" w:hAnsi="仿宋" w:eastAsia="仿宋" w:cs="仿宋"/>
                <w:color w:val="000000" w:themeColor="text1"/>
                <w:sz w:val="24"/>
                <w:szCs w:val="24"/>
                <w14:textFill>
                  <w14:solidFill>
                    <w14:schemeClr w14:val="tx1"/>
                  </w14:solidFill>
                </w14:textFill>
              </w:rPr>
              <w:t>条件</w:t>
            </w:r>
            <w:r>
              <w:rPr>
                <w:rFonts w:hint="eastAsia" w:ascii="仿宋" w:hAnsi="仿宋" w:eastAsia="仿宋" w:cs="仿宋"/>
                <w:color w:val="000000" w:themeColor="text1"/>
                <w:sz w:val="24"/>
                <w:szCs w:val="24"/>
                <w14:textFill>
                  <w14:solidFill>
                    <w14:schemeClr w14:val="tx1"/>
                  </w14:solidFill>
                </w14:textFill>
              </w:rPr>
              <w:t>下，通过</w:t>
            </w:r>
            <w:r>
              <w:rPr>
                <w:rFonts w:hint="eastAsia" w:ascii="仿宋" w:hAnsi="仿宋" w:eastAsia="仿宋" w:cs="仿宋"/>
                <w:color w:val="000000" w:themeColor="text1"/>
                <w:sz w:val="24"/>
                <w:szCs w:val="24"/>
                <w14:textFill>
                  <w14:solidFill>
                    <w14:schemeClr w14:val="tx1"/>
                  </w14:solidFill>
                </w14:textFill>
              </w:rPr>
              <w:t>二</w:t>
            </w:r>
            <w:r>
              <w:rPr>
                <w:rFonts w:hint="eastAsia" w:ascii="仿宋" w:hAnsi="仿宋" w:eastAsia="仿宋" w:cs="仿宋"/>
                <w:color w:val="000000" w:themeColor="text1"/>
                <w:sz w:val="24"/>
                <w:szCs w:val="24"/>
                <w14:textFill>
                  <w14:solidFill>
                    <w14:schemeClr w14:val="tx1"/>
                  </w14:solidFill>
                </w14:textFill>
              </w:rPr>
              <w:t>维码的方式将内网报卡数据传送到</w:t>
            </w:r>
            <w:r>
              <w:rPr>
                <w:rFonts w:hint="eastAsia" w:ascii="仿宋" w:hAnsi="仿宋" w:eastAsia="仿宋" w:cs="仿宋"/>
                <w:color w:val="000000" w:themeColor="text1"/>
                <w:sz w:val="24"/>
                <w:szCs w:val="24"/>
                <w14:textFill>
                  <w14:solidFill>
                    <w14:schemeClr w14:val="tx1"/>
                  </w14:solidFill>
                </w14:textFill>
              </w:rPr>
              <w:t>大</w:t>
            </w:r>
            <w:r>
              <w:rPr>
                <w:rFonts w:hint="eastAsia" w:ascii="仿宋" w:hAnsi="仿宋" w:eastAsia="仿宋" w:cs="仿宋"/>
                <w:color w:val="000000" w:themeColor="text1"/>
                <w:sz w:val="24"/>
                <w:szCs w:val="24"/>
                <w14:textFill>
                  <w14:solidFill>
                    <w14:schemeClr w14:val="tx1"/>
                  </w14:solidFill>
                </w14:textFill>
              </w:rPr>
              <w:t>疫情网上，并自动完成数据的填报。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pPr>
              <w:spacing w:after="0"/>
              <w:rPr>
                <w:rFonts w:hint="eastAsia" w:ascii="仿宋" w:hAnsi="仿宋" w:eastAsia="仿宋" w:cs="仿宋"/>
                <w:color w:val="000000" w:themeColor="text1"/>
                <w:sz w:val="24"/>
                <w:szCs w:val="24"/>
                <w14:textFill>
                  <w14:solidFill>
                    <w14:schemeClr w14:val="tx1"/>
                  </w14:solidFill>
                </w14:textFill>
              </w:rPr>
            </w:pPr>
          </w:p>
        </w:tc>
        <w:tc>
          <w:tcPr>
            <w:tcW w:w="7075" w:type="dxa"/>
          </w:tcPr>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未上报病例查看：列出所有没有上报的疑似病例，并保存有针对该病例的讨论记录，可以方便的查看该病例没有上报大疫情网的具体原因，更好证明医院在病例信息收集方面所做的工作。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pPr>
              <w:spacing w:after="0"/>
              <w:rPr>
                <w:rFonts w:hint="eastAsia" w:ascii="仿宋" w:hAnsi="仿宋" w:eastAsia="仿宋" w:cs="仿宋"/>
                <w:color w:val="000000" w:themeColor="text1"/>
                <w:sz w:val="24"/>
                <w:szCs w:val="24"/>
                <w14:textFill>
                  <w14:solidFill>
                    <w14:schemeClr w14:val="tx1"/>
                  </w14:solidFill>
                </w14:textFill>
              </w:rPr>
            </w:pPr>
          </w:p>
        </w:tc>
        <w:tc>
          <w:tcPr>
            <w:tcW w:w="7075" w:type="dxa"/>
          </w:tcPr>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提醒参数设置：可以根据医院情况及当地疾控要求，对疑似病例的识别进行定制，更好保证疑似病例提醒的有效性。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pPr>
              <w:spacing w:after="0"/>
              <w:rPr>
                <w:rFonts w:hint="eastAsia" w:ascii="仿宋" w:hAnsi="仿宋" w:eastAsia="仿宋" w:cs="仿宋"/>
                <w:color w:val="000000" w:themeColor="text1"/>
                <w:sz w:val="24"/>
                <w:szCs w:val="24"/>
                <w14:textFill>
                  <w14:solidFill>
                    <w14:schemeClr w14:val="tx1"/>
                  </w14:solidFill>
                </w14:textFill>
              </w:rPr>
            </w:pPr>
          </w:p>
        </w:tc>
        <w:tc>
          <w:tcPr>
            <w:tcW w:w="7075" w:type="dxa"/>
          </w:tcPr>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传染病填写要求设置：可以针对不同传染病设置实际的上报要求及备注填写要求，在医生填卡时会方便的看到相关要求，从而更好的保证报卡数据的准确性。</w:t>
            </w:r>
          </w:p>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pPr>
              <w:spacing w:after="0"/>
              <w:rPr>
                <w:rFonts w:hint="eastAsia" w:ascii="仿宋" w:hAnsi="仿宋" w:eastAsia="仿宋" w:cs="仿宋"/>
                <w:color w:val="000000" w:themeColor="text1"/>
                <w:sz w:val="24"/>
                <w:szCs w:val="24"/>
                <w14:textFill>
                  <w14:solidFill>
                    <w14:schemeClr w14:val="tx1"/>
                  </w14:solidFill>
                </w14:textFill>
              </w:rPr>
            </w:pPr>
          </w:p>
        </w:tc>
        <w:tc>
          <w:tcPr>
            <w:tcW w:w="7075" w:type="dxa"/>
          </w:tcPr>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数据分析：提供基本数据分析，可以按指定时间段对各种传染病的上报情况按科室、种类进行统计分析。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pPr>
              <w:spacing w:after="0"/>
              <w:rPr>
                <w:rFonts w:hint="eastAsia" w:ascii="仿宋" w:hAnsi="仿宋" w:eastAsia="仿宋" w:cs="仿宋"/>
                <w:color w:val="000000" w:themeColor="text1"/>
                <w:sz w:val="24"/>
                <w:szCs w:val="24"/>
                <w14:textFill>
                  <w14:solidFill>
                    <w14:schemeClr w14:val="tx1"/>
                  </w14:solidFill>
                </w14:textFill>
              </w:rPr>
            </w:pPr>
          </w:p>
        </w:tc>
        <w:tc>
          <w:tcPr>
            <w:tcW w:w="7075" w:type="dxa"/>
          </w:tcPr>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诊疗日志自动生成：可以根据HIS、LIS、PACS、电子病历中提取的信息，自动生成传染病检查要求的门诊日志、入/出院登记、检测检验登记、放射影像登记。有效减少医生在这些工作上的时间占用，同时可以更好的保证各项数据的一致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restart"/>
            <w:vAlign w:val="center"/>
          </w:tcPr>
          <w:p>
            <w:pPr>
              <w:spacing w:after="0"/>
              <w:ind w:firstLine="0"/>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食源</w:t>
            </w:r>
            <w:r>
              <w:rPr>
                <w:rFonts w:hint="eastAsia" w:ascii="仿宋" w:hAnsi="仿宋" w:eastAsia="仿宋" w:cs="仿宋"/>
                <w:color w:val="000000" w:themeColor="text1"/>
                <w:sz w:val="24"/>
                <w:szCs w:val="24"/>
                <w14:textFill>
                  <w14:solidFill>
                    <w14:schemeClr w14:val="tx1"/>
                  </w14:solidFill>
                </w14:textFill>
              </w:rPr>
              <w:t>性疾病</w:t>
            </w:r>
          </w:p>
        </w:tc>
        <w:tc>
          <w:tcPr>
            <w:tcW w:w="7075" w:type="dxa"/>
          </w:tcPr>
          <w:p>
            <w:pPr>
              <w:spacing w:after="0" w:line="240" w:lineRule="auto"/>
              <w:ind w:firstLine="0"/>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疑似病例识别及提醒：通过与HIS、LIS、电子病历的对接，自动识别出需要填写食源性疾病报告卡的病例，并提醒医师填写食源性疾病报告卡，具体识别依据包括：</w:t>
            </w:r>
          </w:p>
          <w:p>
            <w:pPr>
              <w:spacing w:after="0" w:line="240" w:lineRule="auto"/>
              <w:ind w:firstLine="0"/>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o HIS、电子病历中的诊断</w:t>
            </w:r>
          </w:p>
          <w:p>
            <w:pPr>
              <w:spacing w:after="0" w:line="240" w:lineRule="auto"/>
              <w:ind w:firstLine="0"/>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o 电子病历入院记录中出现一些疑似文字</w:t>
            </w:r>
          </w:p>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o LIS相关检验结果呈阳性(如大便白细胞)</w:t>
            </w:r>
          </w:p>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pPr>
              <w:spacing w:after="0"/>
              <w:rPr>
                <w:rFonts w:hint="eastAsia" w:ascii="仿宋" w:hAnsi="仿宋" w:eastAsia="仿宋" w:cs="仿宋"/>
                <w:color w:val="000000" w:themeColor="text1"/>
                <w:sz w:val="24"/>
                <w:szCs w:val="24"/>
                <w14:textFill>
                  <w14:solidFill>
                    <w14:schemeClr w14:val="tx1"/>
                  </w14:solidFill>
                </w14:textFill>
              </w:rPr>
            </w:pPr>
          </w:p>
        </w:tc>
        <w:tc>
          <w:tcPr>
            <w:tcW w:w="7075" w:type="dxa"/>
          </w:tcPr>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食源性疾病报告卡填写：医师在医生工作站运行本软件，登录后可以根据系统提醒来填写食源性疾病报告卡，也可以主动填写食源性疾病报告卡。在填写过程中，在患者确定（系统提醒时、主动填写输入住院号或就诊号）后，系统会直接从HIS、电子病历中提取患者的已有信息，完成基本信息等数据项的自动填写。并且在提交前会对报卡信息进行初步检查，确保报卡填写符合要求。</w:t>
            </w:r>
          </w:p>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pPr>
              <w:spacing w:after="0"/>
              <w:rPr>
                <w:rFonts w:hint="eastAsia" w:ascii="仿宋" w:hAnsi="仿宋" w:eastAsia="仿宋" w:cs="仿宋"/>
                <w:color w:val="000000" w:themeColor="text1"/>
                <w:sz w:val="24"/>
                <w:szCs w:val="24"/>
                <w14:textFill>
                  <w14:solidFill>
                    <w14:schemeClr w14:val="tx1"/>
                  </w14:solidFill>
                </w14:textFill>
              </w:rPr>
            </w:pPr>
          </w:p>
        </w:tc>
        <w:tc>
          <w:tcPr>
            <w:tcW w:w="7075" w:type="dxa"/>
          </w:tcPr>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疑似病例查看（待上报）：公共卫生人员可以查看系统识别出的待上报食源性疾病病例，公共卫生人员可以做进一步预判断及处理，同时公共卫生人员也可以根据待上报病例自行填写食源性疾病报告卡。</w:t>
            </w:r>
          </w:p>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pPr>
              <w:spacing w:after="0"/>
              <w:rPr>
                <w:rFonts w:hint="eastAsia" w:ascii="仿宋" w:hAnsi="仿宋" w:eastAsia="仿宋" w:cs="仿宋"/>
                <w:color w:val="000000" w:themeColor="text1"/>
                <w:sz w:val="24"/>
                <w:szCs w:val="24"/>
                <w14:textFill>
                  <w14:solidFill>
                    <w14:schemeClr w14:val="tx1"/>
                  </w14:solidFill>
                </w14:textFill>
              </w:rPr>
            </w:pPr>
          </w:p>
        </w:tc>
        <w:tc>
          <w:tcPr>
            <w:tcW w:w="7075" w:type="dxa"/>
          </w:tcPr>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报卡审核：对医师上报的食源性疾病报告卡做进一步检查，是否确实需要上报，相关内容是否需要调整。</w:t>
            </w:r>
          </w:p>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pPr>
              <w:spacing w:after="0"/>
              <w:rPr>
                <w:rFonts w:hint="eastAsia" w:ascii="仿宋" w:hAnsi="仿宋" w:eastAsia="仿宋" w:cs="仿宋"/>
                <w:color w:val="000000" w:themeColor="text1"/>
                <w:sz w:val="24"/>
                <w:szCs w:val="24"/>
                <w14:textFill>
                  <w14:solidFill>
                    <w14:schemeClr w14:val="tx1"/>
                  </w14:solidFill>
                </w14:textFill>
              </w:rPr>
            </w:pPr>
          </w:p>
        </w:tc>
        <w:tc>
          <w:tcPr>
            <w:tcW w:w="7075" w:type="dxa"/>
          </w:tcPr>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报卡网络直报：将内网填报好的食源性疾病报卡数据，一键传送到位于外网的直报电脑的食源性疾病监测报告系统中，自动完成直报数据的填写，直报人员对数据进行复核后点击“上报”即可完成数据的上报。</w:t>
            </w:r>
          </w:p>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pPr>
              <w:spacing w:after="0"/>
              <w:rPr>
                <w:rFonts w:hint="eastAsia" w:ascii="仿宋" w:hAnsi="仿宋" w:eastAsia="仿宋" w:cs="仿宋"/>
                <w:color w:val="000000" w:themeColor="text1"/>
                <w:sz w:val="24"/>
                <w:szCs w:val="24"/>
                <w14:textFill>
                  <w14:solidFill>
                    <w14:schemeClr w14:val="tx1"/>
                  </w14:solidFill>
                </w14:textFill>
              </w:rPr>
            </w:pPr>
          </w:p>
        </w:tc>
        <w:tc>
          <w:tcPr>
            <w:tcW w:w="7075" w:type="dxa"/>
          </w:tcPr>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提醒参数设置：可以根据医院情况及当地疾控要求，对疑似病例的识别进行定制，更好保证疑似病例提醒的有效性。</w:t>
            </w:r>
          </w:p>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restart"/>
            <w:vAlign w:val="center"/>
          </w:tcPr>
          <w:p>
            <w:pPr>
              <w:spacing w:after="0"/>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死亡</w:t>
            </w:r>
          </w:p>
        </w:tc>
        <w:tc>
          <w:tcPr>
            <w:tcW w:w="7075" w:type="dxa"/>
          </w:tcPr>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疑似病例识别及提醒：通过与电子病历的对接，根据病案首页中的转归情况以及电子病历中出院记录、死亡记录、抢救记录等病历信息中识别出需要上报死亡事件的病例，并提醒医师填写居民死亡证明（推断）书。</w:t>
            </w:r>
          </w:p>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pPr>
              <w:spacing w:after="0"/>
              <w:rPr>
                <w:rFonts w:hint="eastAsia" w:ascii="仿宋" w:hAnsi="仿宋" w:eastAsia="仿宋" w:cs="仿宋"/>
                <w:color w:val="000000" w:themeColor="text1"/>
                <w:sz w:val="24"/>
                <w:szCs w:val="24"/>
                <w14:textFill>
                  <w14:solidFill>
                    <w14:schemeClr w14:val="tx1"/>
                  </w14:solidFill>
                </w14:textFill>
              </w:rPr>
            </w:pPr>
          </w:p>
        </w:tc>
        <w:tc>
          <w:tcPr>
            <w:tcW w:w="7075" w:type="dxa"/>
          </w:tcPr>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死亡证明的填写与打印：医师在医生工作站运行本软件，登录后可根据系统提醒或主动填写居民死亡证明（推断）书。在填写过程中，在患者确定（系统提醒时、主动填写输入住院号或就诊号）后，系统会直接从HIS、电子病历中提取患者的已有信息，完成基本信息等数据项的自动填写。并且在填写死亡证明（推断）书后可以自动生成需要交给家属的三联。</w:t>
            </w:r>
          </w:p>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支持打印授权功能，可对医生打印报卡次数进行限制，若需重复打印，公共卫生科授权以后方可打印。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pPr>
              <w:spacing w:after="0"/>
              <w:rPr>
                <w:rFonts w:hint="eastAsia" w:ascii="仿宋" w:hAnsi="仿宋" w:eastAsia="仿宋" w:cs="仿宋"/>
                <w:color w:val="000000" w:themeColor="text1"/>
                <w:sz w:val="24"/>
                <w:szCs w:val="24"/>
                <w14:textFill>
                  <w14:solidFill>
                    <w14:schemeClr w14:val="tx1"/>
                  </w14:solidFill>
                </w14:textFill>
              </w:rPr>
            </w:pPr>
          </w:p>
        </w:tc>
        <w:tc>
          <w:tcPr>
            <w:tcW w:w="7075" w:type="dxa"/>
          </w:tcPr>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疑似病例查看（待上报）：公共卫生人员可以查看系统识别出的待上报死亡证明的病例，公共卫生人员可以做进一步预判断及处理。</w:t>
            </w:r>
          </w:p>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pPr>
              <w:spacing w:after="0"/>
              <w:rPr>
                <w:rFonts w:hint="eastAsia" w:ascii="仿宋" w:hAnsi="仿宋" w:eastAsia="仿宋" w:cs="仿宋"/>
                <w:color w:val="000000" w:themeColor="text1"/>
                <w:sz w:val="24"/>
                <w:szCs w:val="24"/>
                <w14:textFill>
                  <w14:solidFill>
                    <w14:schemeClr w14:val="tx1"/>
                  </w14:solidFill>
                </w14:textFill>
              </w:rPr>
            </w:pPr>
          </w:p>
        </w:tc>
        <w:tc>
          <w:tcPr>
            <w:tcW w:w="7075" w:type="dxa"/>
          </w:tcPr>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报卡审核：对医师上报的居民死亡证明（推断）书做进一步检查，是否确实需要上报，相关内容是否需要调整。</w:t>
            </w:r>
          </w:p>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pPr>
              <w:spacing w:after="0"/>
              <w:rPr>
                <w:rFonts w:hint="eastAsia" w:ascii="仿宋" w:hAnsi="仿宋" w:eastAsia="仿宋" w:cs="仿宋"/>
                <w:color w:val="000000" w:themeColor="text1"/>
                <w:sz w:val="24"/>
                <w:szCs w:val="24"/>
                <w14:textFill>
                  <w14:solidFill>
                    <w14:schemeClr w14:val="tx1"/>
                  </w14:solidFill>
                </w14:textFill>
              </w:rPr>
            </w:pPr>
          </w:p>
        </w:tc>
        <w:tc>
          <w:tcPr>
            <w:tcW w:w="7075" w:type="dxa"/>
          </w:tcPr>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报卡网络直报：将内网填报好的死亡证明数据，一键传送到位于外网的直报电脑的大疫情网中，自动完成直报数据的填写，直报人员对数据进行复核后点击“上报”即可完成数据的上报。</w:t>
            </w:r>
          </w:p>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pPr>
              <w:spacing w:after="0"/>
              <w:rPr>
                <w:rFonts w:hint="eastAsia" w:ascii="仿宋" w:hAnsi="仿宋" w:eastAsia="仿宋" w:cs="仿宋"/>
                <w:color w:val="000000" w:themeColor="text1"/>
                <w:sz w:val="24"/>
                <w:szCs w:val="24"/>
                <w14:textFill>
                  <w14:solidFill>
                    <w14:schemeClr w14:val="tx1"/>
                  </w14:solidFill>
                </w14:textFill>
              </w:rPr>
            </w:pPr>
          </w:p>
        </w:tc>
        <w:tc>
          <w:tcPr>
            <w:tcW w:w="7075" w:type="dxa"/>
          </w:tcPr>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提醒参数设置：可以根据医院情况，对疑似病例的识别进行定制，更好保证疑似病例提醒的有效性。</w:t>
            </w:r>
          </w:p>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pPr>
              <w:spacing w:after="0"/>
              <w:rPr>
                <w:rFonts w:hint="eastAsia" w:ascii="仿宋" w:hAnsi="仿宋" w:eastAsia="仿宋" w:cs="仿宋"/>
                <w:color w:val="000000" w:themeColor="text1"/>
                <w:sz w:val="24"/>
                <w:szCs w:val="24"/>
                <w14:textFill>
                  <w14:solidFill>
                    <w14:schemeClr w14:val="tx1"/>
                  </w14:solidFill>
                </w14:textFill>
              </w:rPr>
            </w:pPr>
          </w:p>
        </w:tc>
        <w:tc>
          <w:tcPr>
            <w:tcW w:w="7075" w:type="dxa"/>
          </w:tcPr>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自动发放编号支持：可以在医生填写居民死亡证明（推断）书时，自动发放死亡证明的编号，保证居民死亡证明编号的一致性，并简单化相关工作流程。</w:t>
            </w:r>
          </w:p>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restart"/>
            <w:vAlign w:val="center"/>
          </w:tcPr>
          <w:p>
            <w:pPr>
              <w:spacing w:after="0"/>
              <w:ind w:firstLine="0"/>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心脑</w:t>
            </w:r>
            <w:r>
              <w:rPr>
                <w:rFonts w:hint="eastAsia" w:ascii="仿宋" w:hAnsi="仿宋" w:eastAsia="仿宋" w:cs="仿宋"/>
                <w:color w:val="000000" w:themeColor="text1"/>
                <w:sz w:val="24"/>
                <w:szCs w:val="24"/>
                <w14:textFill>
                  <w14:solidFill>
                    <w14:schemeClr w14:val="tx1"/>
                  </w14:solidFill>
                </w14:textFill>
              </w:rPr>
              <w:t>血管</w:t>
            </w:r>
          </w:p>
        </w:tc>
        <w:tc>
          <w:tcPr>
            <w:tcW w:w="7075" w:type="dxa"/>
          </w:tcPr>
          <w:p>
            <w:pPr>
              <w:spacing w:after="0" w:line="240" w:lineRule="auto"/>
              <w:ind w:firstLine="0"/>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疑似病例识别及提醒：通过与HIS、PACS、电子病历的对接，自动识别出需要填写心脑血管事件报告卡的病例，并提醒医师填写心脑血管事件报告卡。具体识别依据包括：</w:t>
            </w:r>
          </w:p>
          <w:p>
            <w:pPr>
              <w:spacing w:after="0" w:line="240" w:lineRule="auto"/>
              <w:ind w:firstLine="0"/>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o HIS、电子病历中的诊断</w:t>
            </w:r>
          </w:p>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o PACS中的阳性结果</w:t>
            </w:r>
          </w:p>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pPr>
              <w:spacing w:after="0"/>
              <w:rPr>
                <w:rFonts w:hint="eastAsia" w:ascii="仿宋" w:hAnsi="仿宋" w:eastAsia="仿宋" w:cs="仿宋"/>
                <w:color w:val="000000" w:themeColor="text1"/>
                <w:sz w:val="24"/>
                <w:szCs w:val="24"/>
                <w14:textFill>
                  <w14:solidFill>
                    <w14:schemeClr w14:val="tx1"/>
                  </w14:solidFill>
                </w14:textFill>
              </w:rPr>
            </w:pPr>
          </w:p>
        </w:tc>
        <w:tc>
          <w:tcPr>
            <w:tcW w:w="7075" w:type="dxa"/>
          </w:tcPr>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心脑血管事件报告卡填写：医师在医生工作站运行本软件，登录后可以根据系统提醒来填写心脑血管事件报告卡，也可以主动填写心脑血管事件报告卡。在填写过程中，在患者确定（系统提醒时、主动填写输入住院号或就诊号）后，系统会直接从HIS、电子病历中提取患者已有信息，完成基本信息等数据项的自动填写。并且在提交前会对报卡信息进行初步检查，确保报卡填写符合要求。</w:t>
            </w:r>
          </w:p>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pPr>
              <w:spacing w:after="0"/>
              <w:rPr>
                <w:rFonts w:hint="eastAsia" w:ascii="仿宋" w:hAnsi="仿宋" w:eastAsia="仿宋" w:cs="仿宋"/>
                <w:color w:val="000000" w:themeColor="text1"/>
                <w:sz w:val="24"/>
                <w:szCs w:val="24"/>
                <w14:textFill>
                  <w14:solidFill>
                    <w14:schemeClr w14:val="tx1"/>
                  </w14:solidFill>
                </w14:textFill>
              </w:rPr>
            </w:pPr>
          </w:p>
        </w:tc>
        <w:tc>
          <w:tcPr>
            <w:tcW w:w="7075" w:type="dxa"/>
          </w:tcPr>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疑似病例查看（待上报）：公共卫生人员可以查看系统识别出的待上报心脑血管事件的病例，公共卫生人员可以做进一步预判断及处理。</w:t>
            </w:r>
          </w:p>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pPr>
              <w:spacing w:after="0"/>
              <w:rPr>
                <w:rFonts w:hint="eastAsia" w:ascii="仿宋" w:hAnsi="仿宋" w:eastAsia="仿宋" w:cs="仿宋"/>
                <w:color w:val="000000" w:themeColor="text1"/>
                <w:sz w:val="24"/>
                <w:szCs w:val="24"/>
                <w14:textFill>
                  <w14:solidFill>
                    <w14:schemeClr w14:val="tx1"/>
                  </w14:solidFill>
                </w14:textFill>
              </w:rPr>
            </w:pPr>
          </w:p>
        </w:tc>
        <w:tc>
          <w:tcPr>
            <w:tcW w:w="7075" w:type="dxa"/>
          </w:tcPr>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报卡审核：对医师上报的心脑血管事件报告卡做进一步检查，是否确实需要上报，相关内容是否需要调整。</w:t>
            </w:r>
          </w:p>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pPr>
              <w:spacing w:after="0"/>
              <w:rPr>
                <w:rFonts w:hint="eastAsia" w:ascii="仿宋" w:hAnsi="仿宋" w:eastAsia="仿宋" w:cs="仿宋"/>
                <w:color w:val="000000" w:themeColor="text1"/>
                <w:sz w:val="24"/>
                <w:szCs w:val="24"/>
                <w14:textFill>
                  <w14:solidFill>
                    <w14:schemeClr w14:val="tx1"/>
                  </w14:solidFill>
                </w14:textFill>
              </w:rPr>
            </w:pPr>
          </w:p>
        </w:tc>
        <w:tc>
          <w:tcPr>
            <w:tcW w:w="7075" w:type="dxa"/>
          </w:tcPr>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报卡网络直报：将内网填报好的心脑血管事件报告卡数据，一键传送到位于外网的直报电脑的大疫情网系统中，自动完成直报数据的填写，直报人员对数据进行复核后点击“上报”即可完成数据的上报。</w:t>
            </w:r>
          </w:p>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pPr>
              <w:spacing w:after="0"/>
              <w:rPr>
                <w:rFonts w:hint="eastAsia" w:ascii="仿宋" w:hAnsi="仿宋" w:eastAsia="仿宋" w:cs="仿宋"/>
                <w:color w:val="000000" w:themeColor="text1"/>
                <w:sz w:val="24"/>
                <w:szCs w:val="24"/>
                <w14:textFill>
                  <w14:solidFill>
                    <w14:schemeClr w14:val="tx1"/>
                  </w14:solidFill>
                </w14:textFill>
              </w:rPr>
            </w:pPr>
          </w:p>
        </w:tc>
        <w:tc>
          <w:tcPr>
            <w:tcW w:w="7075" w:type="dxa"/>
          </w:tcPr>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提醒参数设置：可以根据医院情况及当地疾控要求，对疑似病例的识别进行定制，更好保证疑似病例提醒的有效性。</w:t>
            </w:r>
          </w:p>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pPr>
              <w:spacing w:after="0"/>
              <w:rPr>
                <w:rFonts w:hint="eastAsia" w:ascii="仿宋" w:hAnsi="仿宋" w:eastAsia="仿宋" w:cs="仿宋"/>
                <w:color w:val="000000" w:themeColor="text1"/>
                <w:sz w:val="24"/>
                <w:szCs w:val="24"/>
                <w14:textFill>
                  <w14:solidFill>
                    <w14:schemeClr w14:val="tx1"/>
                  </w14:solidFill>
                </w14:textFill>
              </w:rPr>
            </w:pPr>
          </w:p>
        </w:tc>
        <w:tc>
          <w:tcPr>
            <w:tcW w:w="7075" w:type="dxa"/>
          </w:tcPr>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统计分析：提供丰富的统计分析功能，可以针对一段时间的心脑血管事件进行按病名、科室的分布统计，以及填报情况的统计。</w:t>
            </w:r>
          </w:p>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restart"/>
            <w:vAlign w:val="center"/>
          </w:tcPr>
          <w:p>
            <w:pPr>
              <w:spacing w:after="0"/>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肿瘤</w:t>
            </w:r>
          </w:p>
        </w:tc>
        <w:tc>
          <w:tcPr>
            <w:tcW w:w="7075" w:type="dxa"/>
          </w:tcPr>
          <w:p>
            <w:pPr>
              <w:spacing w:after="0" w:line="240" w:lineRule="auto"/>
              <w:ind w:firstLine="0"/>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疑似病例识别及提醒：通过与HIS、PACS、电子病历的对接，自动识别出需要填写肿瘤报告卡的病例，并提醒医师填写肿瘤报告卡。具体识别依据包括：</w:t>
            </w:r>
          </w:p>
          <w:p>
            <w:pPr>
              <w:spacing w:after="0" w:line="240" w:lineRule="auto"/>
              <w:ind w:firstLine="0"/>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o HIS、电子病历中的诊断</w:t>
            </w:r>
          </w:p>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o PACS中的阳性结果</w:t>
            </w:r>
          </w:p>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pPr>
              <w:spacing w:after="0"/>
              <w:rPr>
                <w:rFonts w:hint="eastAsia" w:ascii="仿宋" w:hAnsi="仿宋" w:eastAsia="仿宋" w:cs="仿宋"/>
                <w:color w:val="000000" w:themeColor="text1"/>
                <w:sz w:val="24"/>
                <w:szCs w:val="24"/>
                <w14:textFill>
                  <w14:solidFill>
                    <w14:schemeClr w14:val="tx1"/>
                  </w14:solidFill>
                </w14:textFill>
              </w:rPr>
            </w:pPr>
          </w:p>
        </w:tc>
        <w:tc>
          <w:tcPr>
            <w:tcW w:w="7075" w:type="dxa"/>
          </w:tcPr>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肿瘤报告卡填写：医师在医生工作站运行本软件，登录后可以根据系统提醒来填写肿瘤报告卡，也可以主动填写肿瘤报告卡。在填写过程中，在患者确定（系统提醒时、主动填写输入住院号或就诊号）后，系统会直接从HIS、电子病历中提取患者已有信息，完成基本信息等数据项的填写。并且在提交前会对报卡信息进行初步检查，确保报卡填写符合要求。</w:t>
            </w:r>
          </w:p>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pPr>
              <w:spacing w:after="0"/>
              <w:rPr>
                <w:rFonts w:hint="eastAsia" w:ascii="仿宋" w:hAnsi="仿宋" w:eastAsia="仿宋" w:cs="仿宋"/>
                <w:color w:val="000000" w:themeColor="text1"/>
                <w:sz w:val="24"/>
                <w:szCs w:val="24"/>
                <w14:textFill>
                  <w14:solidFill>
                    <w14:schemeClr w14:val="tx1"/>
                  </w14:solidFill>
                </w14:textFill>
              </w:rPr>
            </w:pPr>
          </w:p>
        </w:tc>
        <w:tc>
          <w:tcPr>
            <w:tcW w:w="7075" w:type="dxa"/>
          </w:tcPr>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疑似病例查看（待上报）：公共卫生人员可以查看系统识别出的待上报肿瘤病例，公共卫生人员可以做进一步预判断及处理。</w:t>
            </w:r>
          </w:p>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pPr>
              <w:spacing w:after="0"/>
              <w:rPr>
                <w:rFonts w:hint="eastAsia" w:ascii="仿宋" w:hAnsi="仿宋" w:eastAsia="仿宋" w:cs="仿宋"/>
                <w:color w:val="000000" w:themeColor="text1"/>
                <w:sz w:val="24"/>
                <w:szCs w:val="24"/>
                <w14:textFill>
                  <w14:solidFill>
                    <w14:schemeClr w14:val="tx1"/>
                  </w14:solidFill>
                </w14:textFill>
              </w:rPr>
            </w:pPr>
          </w:p>
        </w:tc>
        <w:tc>
          <w:tcPr>
            <w:tcW w:w="7075" w:type="dxa"/>
          </w:tcPr>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报卡审核：对医师上报的肿瘤报告卡做进一步检查，是否确实需要上报，相关内容是否需要调整。</w:t>
            </w:r>
          </w:p>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pPr>
              <w:spacing w:after="0"/>
              <w:rPr>
                <w:rFonts w:hint="eastAsia" w:ascii="仿宋" w:hAnsi="仿宋" w:eastAsia="仿宋" w:cs="仿宋"/>
                <w:color w:val="000000" w:themeColor="text1"/>
                <w:sz w:val="24"/>
                <w:szCs w:val="24"/>
                <w14:textFill>
                  <w14:solidFill>
                    <w14:schemeClr w14:val="tx1"/>
                  </w14:solidFill>
                </w14:textFill>
              </w:rPr>
            </w:pPr>
          </w:p>
        </w:tc>
        <w:tc>
          <w:tcPr>
            <w:tcW w:w="7075" w:type="dxa"/>
          </w:tcPr>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报卡网络直报：将内网填报好的肿瘤报告卡数据，一键传送到位于外网的直报电脑的大疫情网系统中，自动完成直报数据的填写，直报人员对数据进行复核后点击“上报”即可完成数据的上报。</w:t>
            </w:r>
          </w:p>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pPr>
              <w:spacing w:after="0"/>
              <w:rPr>
                <w:rFonts w:hint="eastAsia" w:ascii="仿宋" w:hAnsi="仿宋" w:eastAsia="仿宋" w:cs="仿宋"/>
                <w:color w:val="000000" w:themeColor="text1"/>
                <w:sz w:val="24"/>
                <w:szCs w:val="24"/>
                <w14:textFill>
                  <w14:solidFill>
                    <w14:schemeClr w14:val="tx1"/>
                  </w14:solidFill>
                </w14:textFill>
              </w:rPr>
            </w:pPr>
          </w:p>
        </w:tc>
        <w:tc>
          <w:tcPr>
            <w:tcW w:w="7075" w:type="dxa"/>
          </w:tcPr>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提醒参数设置：可以根据医院情况及当地疾控要求，对疑似病例的识别进行定制，更好保证疑似病例提醒的有效性。</w:t>
            </w:r>
          </w:p>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Merge w:val="continue"/>
          </w:tcPr>
          <w:p>
            <w:pPr>
              <w:spacing w:after="0"/>
              <w:rPr>
                <w:rFonts w:hint="eastAsia" w:ascii="仿宋" w:hAnsi="仿宋" w:eastAsia="仿宋" w:cs="仿宋"/>
                <w:color w:val="000000" w:themeColor="text1"/>
                <w:sz w:val="24"/>
                <w:szCs w:val="24"/>
                <w14:textFill>
                  <w14:solidFill>
                    <w14:schemeClr w14:val="tx1"/>
                  </w14:solidFill>
                </w14:textFill>
              </w:rPr>
            </w:pPr>
          </w:p>
        </w:tc>
        <w:tc>
          <w:tcPr>
            <w:tcW w:w="7075" w:type="dxa"/>
          </w:tcPr>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统计分析：提供丰富的统计分析功能，可以针对一段时间的肿瘤病例进行按病名、科室的分布统计，以及填报情况的统计。</w:t>
            </w:r>
          </w:p>
          <w:p>
            <w:pPr>
              <w:spacing w:after="0" w:line="240" w:lineRule="auto"/>
              <w:ind w:firstLine="0"/>
              <w:rPr>
                <w:rFonts w:hint="eastAsia" w:ascii="仿宋" w:hAnsi="仿宋" w:eastAsia="仿宋" w:cs="仿宋"/>
                <w:color w:val="000000" w:themeColor="text1"/>
                <w:sz w:val="24"/>
                <w:szCs w:val="24"/>
                <w14:textFill>
                  <w14:solidFill>
                    <w14:schemeClr w14:val="tx1"/>
                  </w14:solidFill>
                </w14:textFill>
              </w:rPr>
            </w:pPr>
          </w:p>
        </w:tc>
      </w:tr>
    </w:tbl>
    <w:p>
      <w:pPr>
        <w:pStyle w:val="2"/>
        <w:numPr>
          <w:ilvl w:val="0"/>
          <w:numId w:val="0"/>
        </w:numP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运行环境</w:t>
      </w:r>
    </w:p>
    <w:p>
      <w:pP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服务端系统需要的基本运行环境如下</w:t>
      </w:r>
    </w:p>
    <w:p>
      <w:pP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最低硬件配置：</w:t>
      </w:r>
    </w:p>
    <w:p>
      <w:pPr>
        <w:pStyle w:val="6"/>
        <w:widowControl w:val="0"/>
        <w:numPr>
          <w:ilvl w:val="0"/>
          <w:numId w:val="3"/>
        </w:numPr>
        <w:snapToGrid w:val="0"/>
        <w:spacing w:after="0"/>
        <w:jc w:val="both"/>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CPU：至强 2.1Ghz 以上</w:t>
      </w:r>
    </w:p>
    <w:p>
      <w:pPr>
        <w:pStyle w:val="6"/>
        <w:widowControl w:val="0"/>
        <w:numPr>
          <w:ilvl w:val="0"/>
          <w:numId w:val="3"/>
        </w:numPr>
        <w:snapToGrid w:val="0"/>
        <w:spacing w:after="0"/>
        <w:jc w:val="both"/>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内存：≥16G</w:t>
      </w:r>
    </w:p>
    <w:p>
      <w:pPr>
        <w:pStyle w:val="6"/>
        <w:widowControl w:val="0"/>
        <w:numPr>
          <w:ilvl w:val="0"/>
          <w:numId w:val="3"/>
        </w:numPr>
        <w:snapToGrid w:val="0"/>
        <w:spacing w:after="0"/>
        <w:jc w:val="both"/>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硬盘：300GB可用空间</w:t>
      </w:r>
    </w:p>
    <w:p>
      <w:pP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软件环境：</w:t>
      </w:r>
    </w:p>
    <w:p>
      <w:pPr>
        <w:pStyle w:val="6"/>
        <w:widowControl w:val="0"/>
        <w:numPr>
          <w:ilvl w:val="0"/>
          <w:numId w:val="4"/>
        </w:numPr>
        <w:snapToGrid w:val="0"/>
        <w:spacing w:after="0"/>
        <w:jc w:val="both"/>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操作系统：Windows Server 2008 R2 SP1 及更新版本的Windows Server操作系统</w:t>
      </w:r>
    </w:p>
    <w:p>
      <w:pPr>
        <w:pStyle w:val="6"/>
        <w:widowControl w:val="0"/>
        <w:numPr>
          <w:ilvl w:val="0"/>
          <w:numId w:val="4"/>
        </w:numPr>
        <w:snapToGrid w:val="0"/>
        <w:spacing w:after="0"/>
        <w:jc w:val="both"/>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数据库：SQL Server 2008及更新版本的 SQL Server数据库</w:t>
      </w:r>
    </w:p>
    <w:p>
      <w:pPr>
        <w:rPr>
          <w:rFonts w:hint="eastAsia" w:ascii="仿宋" w:hAnsi="仿宋" w:eastAsia="仿宋" w:cs="仿宋"/>
          <w:color w:val="000000" w:themeColor="text1"/>
          <w:sz w:val="24"/>
          <w:szCs w:val="24"/>
          <w14:textFill>
            <w14:solidFill>
              <w14:schemeClr w14:val="tx1"/>
            </w14:solidFill>
          </w14:textFill>
        </w:rPr>
      </w:pPr>
    </w:p>
    <w:p>
      <w:pP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客户端系统需要的基本运行环境如下：</w:t>
      </w:r>
    </w:p>
    <w:p>
      <w:pP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最低硬件配置：</w:t>
      </w:r>
    </w:p>
    <w:p>
      <w:pPr>
        <w:pStyle w:val="6"/>
        <w:widowControl w:val="0"/>
        <w:numPr>
          <w:ilvl w:val="0"/>
          <w:numId w:val="5"/>
        </w:numPr>
        <w:snapToGrid w:val="0"/>
        <w:spacing w:after="0"/>
        <w:jc w:val="both"/>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CPU ：奔腾4 2.0Ghz 以上</w:t>
      </w:r>
    </w:p>
    <w:p>
      <w:pPr>
        <w:pStyle w:val="6"/>
        <w:widowControl w:val="0"/>
        <w:numPr>
          <w:ilvl w:val="0"/>
          <w:numId w:val="5"/>
        </w:numPr>
        <w:snapToGrid w:val="0"/>
        <w:spacing w:after="0"/>
        <w:jc w:val="both"/>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内存: ≥1G</w:t>
      </w:r>
    </w:p>
    <w:p>
      <w:pPr>
        <w:pStyle w:val="6"/>
        <w:widowControl w:val="0"/>
        <w:numPr>
          <w:ilvl w:val="0"/>
          <w:numId w:val="5"/>
        </w:numPr>
        <w:snapToGrid w:val="0"/>
        <w:spacing w:after="0"/>
        <w:jc w:val="both"/>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硬盘：500MB可用空间</w:t>
      </w:r>
    </w:p>
    <w:p>
      <w:pP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软件环境：</w:t>
      </w:r>
    </w:p>
    <w:p>
      <w:pPr>
        <w:pStyle w:val="6"/>
        <w:widowControl w:val="0"/>
        <w:numPr>
          <w:ilvl w:val="0"/>
          <w:numId w:val="6"/>
        </w:numPr>
        <w:snapToGrid w:val="0"/>
        <w:spacing w:after="0"/>
        <w:jc w:val="both"/>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操作系统：Windows XP SP3/Windows Vista/Windows 7/Windows 8/Windows 10等 Windows系列操作系统</w:t>
      </w:r>
    </w:p>
    <w:p>
      <w:pPr>
        <w:rPr>
          <w:rFonts w:hint="eastAsia" w:ascii="仿宋" w:hAnsi="仿宋" w:eastAsia="仿宋" w:cs="仿宋"/>
          <w:color w:val="000000" w:themeColor="text1"/>
          <w:sz w:val="24"/>
          <w:szCs w:val="24"/>
          <w14:textFill>
            <w14:solidFill>
              <w14:schemeClr w14:val="tx1"/>
            </w14:solidFill>
          </w14:textFill>
        </w:rPr>
      </w:pP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新宋体">
    <w:panose1 w:val="02010609030101010101"/>
    <w:charset w:val="86"/>
    <w:family w:val="modern"/>
    <w:pitch w:val="default"/>
    <w:sig w:usb0="00000003" w:usb1="288F0000" w:usb2="00000006" w:usb3="00000000" w:csb0="00040001" w:csb1="00000000"/>
  </w:font>
  <w:font w:name="微软雅黑">
    <w:panose1 w:val="020B0503020204020204"/>
    <w:charset w:val="86"/>
    <w:family w:val="swiss"/>
    <w:pitch w:val="default"/>
    <w:sig w:usb0="80000287" w:usb1="28CF3C50" w:usb2="00000016" w:usb3="00000000" w:csb0="0004001F" w:csb1="00000000"/>
  </w:font>
  <w:font w:name="MS PGothic">
    <w:panose1 w:val="020B0600070205080204"/>
    <w:charset w:val="80"/>
    <w:family w:val="swiss"/>
    <w:pitch w:val="default"/>
    <w:sig w:usb0="E00002FF" w:usb1="6AC7FDFB" w:usb2="08000012" w:usb3="00000000" w:csb0="4002009F" w:csb1="DFD7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03793E"/>
    <w:multiLevelType w:val="multilevel"/>
    <w:tmpl w:val="0103793E"/>
    <w:lvl w:ilvl="0" w:tentative="0">
      <w:start w:val="1"/>
      <w:numFmt w:val="bullet"/>
      <w:lvlText w:val="o"/>
      <w:lvlJc w:val="left"/>
      <w:pPr>
        <w:ind w:left="720" w:hanging="360"/>
      </w:pPr>
      <w:rPr>
        <w:rFonts w:hint="default" w:ascii="Courier New" w:hAnsi="Courier New" w:cs="Courier New"/>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07630DEE"/>
    <w:multiLevelType w:val="multilevel"/>
    <w:tmpl w:val="07630DE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3A823E62"/>
    <w:multiLevelType w:val="multilevel"/>
    <w:tmpl w:val="3A823E62"/>
    <w:lvl w:ilvl="0" w:tentative="0">
      <w:start w:val="1"/>
      <w:numFmt w:val="decimal"/>
      <w:pStyle w:val="2"/>
      <w:suff w:val="space"/>
      <w:lvlText w:val=" %1"/>
      <w:lvlJc w:val="left"/>
      <w:pPr>
        <w:ind w:left="0" w:firstLine="0"/>
      </w:pPr>
    </w:lvl>
    <w:lvl w:ilvl="1" w:tentative="0">
      <w:start w:val="1"/>
      <w:numFmt w:val="decimal"/>
      <w:suff w:val="nothing"/>
      <w:lvlText w:val="%1.%2 "/>
      <w:lvlJc w:val="left"/>
      <w:pPr>
        <w:ind w:left="0" w:firstLine="170"/>
      </w:pPr>
    </w:lvl>
    <w:lvl w:ilvl="2" w:tentative="0">
      <w:start w:val="1"/>
      <w:numFmt w:val="decimal"/>
      <w:suff w:val="nothing"/>
      <w:lvlText w:val="%1.%2.%3 "/>
      <w:lvlJc w:val="left"/>
      <w:pPr>
        <w:ind w:left="340" w:hanging="113"/>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3">
    <w:nsid w:val="5A011C64"/>
    <w:multiLevelType w:val="multilevel"/>
    <w:tmpl w:val="5A011C64"/>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793002F0"/>
    <w:multiLevelType w:val="multilevel"/>
    <w:tmpl w:val="793002F0"/>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
    <w:nsid w:val="7FAF2F80"/>
    <w:multiLevelType w:val="multilevel"/>
    <w:tmpl w:val="7FAF2F80"/>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zMjkxMzNmZTVlMTg0MmJkYzM5ODU4NDcxZjRkOGMifQ=="/>
  </w:docVars>
  <w:rsids>
    <w:rsidRoot w:val="6187184F"/>
    <w:rsid w:val="618718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300" w:lineRule="auto"/>
      <w:ind w:firstLine="454"/>
    </w:pPr>
    <w:rPr>
      <w:rFonts w:ascii="新宋体" w:hAnsi="新宋体" w:eastAsia="新宋体" w:cstheme="minorBidi"/>
      <w:sz w:val="24"/>
      <w:szCs w:val="22"/>
      <w:lang w:val="en-US" w:eastAsia="zh-CN" w:bidi="ar-SA"/>
    </w:rPr>
  </w:style>
  <w:style w:type="paragraph" w:styleId="2">
    <w:name w:val="heading 1"/>
    <w:basedOn w:val="1"/>
    <w:next w:val="1"/>
    <w:qFormat/>
    <w:uiPriority w:val="9"/>
    <w:pPr>
      <w:keepNext/>
      <w:keepLines/>
      <w:numPr>
        <w:ilvl w:val="0"/>
        <w:numId w:val="1"/>
      </w:numPr>
      <w:spacing w:before="240" w:after="0"/>
      <w:outlineLvl w:val="0"/>
    </w:pPr>
    <w:rPr>
      <w:rFonts w:cstheme="majorBidi"/>
      <w:color w:val="2E75B6" w:themeColor="accent1" w:themeShade="BF"/>
      <w:sz w:val="40"/>
      <w:szCs w:val="40"/>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2022-10-14T09:23:00Z</dcterms:created>
  <dc:creator>@星火</dc:creator>
  <cp:lastModifiedBy>@星火</cp:lastModifiedBy>
  <dcterms:modified xsi:type="dcterms:W3CDTF">2022-10-14T09:30:27Z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AE0C616DA5874C389750A055EBFD277E</vt:lpwstr>
  </property>
</Properties>
</file>