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仿宋" w:hAnsi="仿宋" w:eastAsia="仿宋" w:cs="仿宋"/>
          <w:b w:val="0"/>
          <w:bCs w:val="0"/>
          <w:sz w:val="36"/>
          <w:szCs w:val="36"/>
          <w:lang w:val="en-US" w:eastAsia="zh-CN"/>
        </w:rPr>
      </w:pPr>
      <w:r>
        <w:rPr>
          <w:rFonts w:hint="eastAsia" w:ascii="仿宋" w:hAnsi="仿宋" w:eastAsia="仿宋" w:cs="仿宋"/>
          <w:b w:val="0"/>
          <w:bCs w:val="0"/>
          <w:i w:val="0"/>
          <w:iCs w:val="0"/>
          <w:caps w:val="0"/>
          <w:color w:val="000000" w:themeColor="text1"/>
          <w:spacing w:val="0"/>
          <w:sz w:val="28"/>
          <w:szCs w:val="28"/>
          <w:shd w:val="clear" w:fill="FFFFFF"/>
          <w:lang w:val="en-US" w:eastAsia="zh-CN"/>
          <w14:textFill>
            <w14:solidFill>
              <w14:schemeClr w14:val="tx1"/>
            </w14:solidFill>
          </w14:textFill>
        </w:rPr>
        <w:t>内科病房楼（含行政楼、6号综合楼）</w:t>
      </w:r>
      <w:r>
        <w:rPr>
          <w:rFonts w:hint="eastAsia" w:ascii="仿宋" w:hAnsi="仿宋" w:eastAsia="仿宋" w:cs="仿宋"/>
          <w:b w:val="0"/>
          <w:bCs w:val="0"/>
          <w:sz w:val="28"/>
          <w:szCs w:val="28"/>
        </w:rPr>
        <w:t>自动消防设施维保</w:t>
      </w:r>
      <w:bookmarkStart w:id="0" w:name="_GoBack"/>
      <w:r>
        <w:rPr>
          <w:rFonts w:hint="eastAsia" w:ascii="仿宋" w:hAnsi="仿宋" w:eastAsia="仿宋" w:cs="仿宋"/>
          <w:b w:val="0"/>
          <w:bCs w:val="0"/>
          <w:sz w:val="28"/>
          <w:szCs w:val="28"/>
        </w:rPr>
        <w:t>服务</w:t>
      </w:r>
      <w:r>
        <w:rPr>
          <w:rFonts w:hint="eastAsia" w:ascii="仿宋" w:hAnsi="仿宋" w:eastAsia="仿宋" w:cs="仿宋"/>
          <w:b w:val="0"/>
          <w:bCs w:val="0"/>
          <w:sz w:val="28"/>
          <w:szCs w:val="28"/>
          <w:lang w:val="en-US" w:eastAsia="zh-CN"/>
        </w:rPr>
        <w:t>要求</w:t>
      </w:r>
      <w:bookmarkEnd w:id="0"/>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一、服务项目基本情况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val="0"/>
          <w:bCs w:val="0"/>
          <w:sz w:val="24"/>
          <w:szCs w:val="24"/>
        </w:rPr>
      </w:pPr>
      <w:r>
        <w:rPr>
          <w:rFonts w:hint="eastAsia" w:ascii="仿宋" w:hAnsi="仿宋" w:eastAsia="仿宋" w:cs="仿宋"/>
          <w:b w:val="0"/>
          <w:bCs w:val="0"/>
          <w:sz w:val="24"/>
          <w:szCs w:val="24"/>
        </w:rPr>
        <w:t>1、项目名称：河南科技大学第二附属医院</w:t>
      </w:r>
      <w:r>
        <w:rPr>
          <w:rFonts w:hint="eastAsia" w:ascii="仿宋" w:hAnsi="仿宋" w:eastAsia="仿宋" w:cs="仿宋"/>
          <w:b w:val="0"/>
          <w:bCs w:val="0"/>
          <w:i w:val="0"/>
          <w:iCs w:val="0"/>
          <w:caps w:val="0"/>
          <w:color w:val="000000" w:themeColor="text1"/>
          <w:spacing w:val="0"/>
          <w:sz w:val="24"/>
          <w:szCs w:val="24"/>
          <w:shd w:val="clear" w:fill="FFFFFF"/>
          <w:lang w:val="en-US" w:eastAsia="zh-CN"/>
          <w14:textFill>
            <w14:solidFill>
              <w14:schemeClr w14:val="tx1"/>
            </w14:solidFill>
          </w14:textFill>
        </w:rPr>
        <w:t>内科病房楼</w:t>
      </w:r>
      <w:r>
        <w:rPr>
          <w:rFonts w:hint="eastAsia" w:ascii="仿宋" w:hAnsi="仿宋" w:eastAsia="仿宋" w:cs="仿宋"/>
          <w:b w:val="0"/>
          <w:bCs w:val="0"/>
          <w:sz w:val="24"/>
          <w:szCs w:val="24"/>
        </w:rPr>
        <w:t>消防设施维保项目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2、</w:t>
      </w:r>
      <w:r>
        <w:rPr>
          <w:rFonts w:hint="eastAsia" w:ascii="仿宋" w:hAnsi="仿宋" w:eastAsia="仿宋" w:cs="仿宋"/>
          <w:sz w:val="24"/>
          <w:szCs w:val="24"/>
          <w:lang w:val="en-US" w:eastAsia="zh-CN"/>
        </w:rPr>
        <w:t>项目概况</w:t>
      </w:r>
      <w:r>
        <w:rPr>
          <w:rFonts w:hint="eastAsia" w:ascii="仿宋" w:hAnsi="仿宋" w:eastAsia="仿宋" w:cs="仿宋"/>
          <w:sz w:val="24"/>
          <w:szCs w:val="24"/>
        </w:rPr>
        <w:t>：</w:t>
      </w:r>
      <w:r>
        <w:rPr>
          <w:rFonts w:hint="eastAsia" w:ascii="仿宋" w:hAnsi="仿宋" w:eastAsia="仿宋" w:cs="仿宋"/>
          <w:b w:val="0"/>
          <w:bCs w:val="0"/>
          <w:color w:val="000000"/>
          <w:kern w:val="0"/>
          <w:sz w:val="24"/>
          <w:szCs w:val="24"/>
          <w:lang w:eastAsia="zh-CN"/>
        </w:rPr>
        <w:t>河南科技大学第二附属医院</w:t>
      </w:r>
      <w:r>
        <w:rPr>
          <w:rFonts w:hint="eastAsia" w:ascii="仿宋" w:hAnsi="仿宋" w:eastAsia="仿宋" w:cs="仿宋"/>
          <w:sz w:val="24"/>
          <w:szCs w:val="24"/>
        </w:rPr>
        <mc:AlternateContent>
          <mc:Choice Requires="wps">
            <w:drawing>
              <wp:anchor distT="0" distB="0" distL="114300" distR="114300" simplePos="0" relativeHeight="251659264" behindDoc="0" locked="0" layoutInCell="1" allowOverlap="1">
                <wp:simplePos x="0" y="0"/>
                <wp:positionH relativeFrom="column">
                  <wp:posOffset>6798310</wp:posOffset>
                </wp:positionH>
                <wp:positionV relativeFrom="paragraph">
                  <wp:posOffset>1346835</wp:posOffset>
                </wp:positionV>
                <wp:extent cx="76200" cy="76200"/>
                <wp:effectExtent l="0" t="0" r="0" b="0"/>
                <wp:wrapNone/>
                <wp:docPr id="1" name="文本框 1"/>
                <wp:cNvGraphicFramePr/>
                <a:graphic xmlns:a="http://schemas.openxmlformats.org/drawingml/2006/main">
                  <a:graphicData uri="http://schemas.microsoft.com/office/word/2010/wordprocessingShape">
                    <wps:wsp>
                      <wps:cNvSpPr txBox="1"/>
                      <wps:spPr>
                        <a:xfrm flipV="1">
                          <a:off x="0" y="0"/>
                          <a:ext cx="76200" cy="76200"/>
                        </a:xfrm>
                        <a:prstGeom prst="rect">
                          <a:avLst/>
                        </a:prstGeom>
                        <a:solidFill>
                          <a:srgbClr val="FFFFFF"/>
                        </a:solidFill>
                        <a:ln>
                          <a:noFill/>
                        </a:ln>
                      </wps:spPr>
                      <wps:txbx>
                        <w:txbxContent>
                          <w:p>
                            <w:pPr>
                              <w:rPr>
                                <w:rFonts w:hint="default"/>
                                <w:lang w:val="en-US" w:eastAsia="zh-CN"/>
                              </w:rPr>
                            </w:pPr>
                          </w:p>
                        </w:txbxContent>
                      </wps:txbx>
                      <wps:bodyPr upright="1"/>
                    </wps:wsp>
                  </a:graphicData>
                </a:graphic>
              </wp:anchor>
            </w:drawing>
          </mc:Choice>
          <mc:Fallback>
            <w:pict>
              <v:shape id="_x0000_s1026" o:spid="_x0000_s1026" o:spt="202" type="#_x0000_t202" style="position:absolute;left:0pt;flip:y;margin-left:535.3pt;margin-top:106.05pt;height:6pt;width:6pt;z-index:251659264;mso-width-relative:page;mso-height-relative:page;" fillcolor="#FFFFFF" filled="t" stroked="f" coordsize="21600,21600" o:gfxdata="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aHsvvZAAAADQEAAA8AAAAAAAAAAQAgAAAAIgAAAGRycy9kb3ducmV2Lnht&#10;bFBLAQIUABQAAAAIAIdO4kBFSEH6vwEAAH4DAAAOAAAAAAAAAAEAIAAAACgBAABkcnMvZTJvRG9j&#10;LnhtbFBLBQYAAAAABgAGAFkBAABZBQAAAAA=&#10;">
                <v:fill on="t" focussize="0,0"/>
                <v:stroke on="f"/>
                <v:imagedata o:title=""/>
                <o:lock v:ext="edit" aspectratio="f"/>
                <v:textbox>
                  <w:txbxContent>
                    <w:p>
                      <w:pPr>
                        <w:rPr>
                          <w:rFonts w:hint="default"/>
                          <w:lang w:val="en-US" w:eastAsia="zh-CN"/>
                        </w:rPr>
                      </w:pPr>
                    </w:p>
                  </w:txbxContent>
                </v:textbox>
              </v:shape>
            </w:pict>
          </mc:Fallback>
        </mc:AlternateContent>
      </w:r>
      <w:r>
        <w:rPr>
          <w:rFonts w:hint="eastAsia" w:ascii="仿宋" w:hAnsi="仿宋" w:eastAsia="仿宋" w:cs="仿宋"/>
          <w:sz w:val="24"/>
          <w:szCs w:val="24"/>
        </w:rPr>
        <w:t>门（急）诊医技内科病房楼</w:t>
      </w:r>
      <w:r>
        <w:rPr>
          <w:rFonts w:hint="eastAsia" w:ascii="仿宋" w:hAnsi="仿宋" w:eastAsia="仿宋" w:cs="仿宋"/>
          <w:sz w:val="24"/>
          <w:szCs w:val="24"/>
          <w:lang w:eastAsia="zh-CN"/>
        </w:rPr>
        <w:t>（含行政楼、</w:t>
      </w:r>
      <w:r>
        <w:rPr>
          <w:rFonts w:hint="eastAsia" w:ascii="仿宋" w:hAnsi="仿宋" w:eastAsia="仿宋" w:cs="仿宋"/>
          <w:sz w:val="24"/>
          <w:szCs w:val="24"/>
          <w:lang w:val="en-US" w:eastAsia="zh-CN"/>
        </w:rPr>
        <w:t>6号综合楼</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位于洛阳市西工区金谷园路</w:t>
      </w:r>
      <w:r>
        <w:rPr>
          <w:rFonts w:hint="eastAsia" w:ascii="仿宋" w:hAnsi="仿宋" w:eastAsia="仿宋" w:cs="仿宋"/>
          <w:sz w:val="24"/>
          <w:szCs w:val="24"/>
          <w:lang w:val="en-US" w:eastAsia="zh-CN"/>
        </w:rPr>
        <w:t>80号，</w:t>
      </w:r>
      <w:r>
        <w:rPr>
          <w:rFonts w:hint="eastAsia" w:ascii="仿宋" w:hAnsi="仿宋" w:eastAsia="仿宋" w:cs="仿宋"/>
          <w:color w:val="000000"/>
          <w:kern w:val="0"/>
          <w:sz w:val="24"/>
          <w:szCs w:val="24"/>
          <w:lang w:eastAsia="zh-CN"/>
        </w:rPr>
        <w:t>该项目为框架剪力结构，</w:t>
      </w:r>
      <w:r>
        <w:rPr>
          <w:rFonts w:hint="eastAsia" w:ascii="仿宋" w:hAnsi="仿宋" w:eastAsia="仿宋" w:cs="仿宋"/>
          <w:sz w:val="24"/>
          <w:szCs w:val="24"/>
        </w:rPr>
        <w:t>地上19层、地下2层，</w:t>
      </w:r>
      <w:r>
        <w:rPr>
          <w:rFonts w:hint="eastAsia" w:ascii="仿宋" w:hAnsi="仿宋" w:eastAsia="仿宋" w:cs="仿宋"/>
          <w:sz w:val="24"/>
          <w:szCs w:val="24"/>
          <w:lang w:eastAsia="zh-CN"/>
        </w:rPr>
        <w:t>高度</w:t>
      </w:r>
      <w:r>
        <w:rPr>
          <w:rFonts w:hint="eastAsia" w:ascii="仿宋" w:hAnsi="仿宋" w:eastAsia="仿宋" w:cs="仿宋"/>
          <w:sz w:val="24"/>
          <w:szCs w:val="24"/>
          <w:lang w:val="en-US" w:eastAsia="zh-CN"/>
        </w:rPr>
        <w:t>77.95米，</w:t>
      </w:r>
      <w:r>
        <w:rPr>
          <w:rFonts w:hint="eastAsia" w:ascii="仿宋" w:hAnsi="仿宋" w:eastAsia="仿宋" w:cs="仿宋"/>
          <w:sz w:val="24"/>
          <w:szCs w:val="24"/>
        </w:rPr>
        <w:t>总建筑面积为48299.75㎡。包括门诊、急诊、医技用房、全科医生培训中心、内科病房及地下车库等。</w:t>
      </w:r>
      <w:r>
        <w:rPr>
          <w:rFonts w:hint="eastAsia" w:ascii="仿宋" w:hAnsi="仿宋" w:eastAsia="仿宋" w:cs="仿宋"/>
          <w:sz w:val="24"/>
          <w:szCs w:val="24"/>
          <w:lang w:eastAsia="zh-CN"/>
        </w:rPr>
        <w:t>行政楼地上</w:t>
      </w:r>
      <w:r>
        <w:rPr>
          <w:rFonts w:hint="eastAsia" w:ascii="仿宋" w:hAnsi="仿宋" w:eastAsia="仿宋" w:cs="仿宋"/>
          <w:sz w:val="24"/>
          <w:szCs w:val="24"/>
          <w:lang w:val="en-US" w:eastAsia="zh-CN"/>
        </w:rPr>
        <w:t>6层总</w:t>
      </w:r>
      <w:r>
        <w:rPr>
          <w:rFonts w:hint="eastAsia" w:ascii="仿宋" w:hAnsi="仿宋" w:eastAsia="仿宋" w:cs="仿宋"/>
          <w:sz w:val="24"/>
          <w:szCs w:val="24"/>
          <w:lang w:eastAsia="zh-CN"/>
        </w:rPr>
        <w:t>建筑面积约为</w:t>
      </w:r>
      <w:r>
        <w:rPr>
          <w:rFonts w:hint="eastAsia" w:ascii="仿宋" w:hAnsi="仿宋" w:eastAsia="仿宋" w:cs="仿宋"/>
          <w:sz w:val="24"/>
          <w:szCs w:val="24"/>
          <w:lang w:val="en-US" w:eastAsia="zh-CN"/>
        </w:rPr>
        <w:t>3600</w:t>
      </w:r>
      <w:r>
        <w:rPr>
          <w:rFonts w:hint="eastAsia" w:ascii="仿宋" w:hAnsi="仿宋" w:eastAsia="仿宋" w:cs="仿宋"/>
          <w:sz w:val="24"/>
          <w:szCs w:val="24"/>
        </w:rPr>
        <w:t>㎡</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6号综合楼地上4层总建</w:t>
      </w:r>
      <w:r>
        <w:rPr>
          <w:rFonts w:hint="eastAsia" w:ascii="仿宋" w:hAnsi="仿宋" w:eastAsia="仿宋" w:cs="仿宋"/>
          <w:sz w:val="24"/>
          <w:szCs w:val="24"/>
          <w:lang w:eastAsia="zh-CN"/>
        </w:rPr>
        <w:t>筑面积约为</w:t>
      </w:r>
      <w:r>
        <w:rPr>
          <w:rFonts w:hint="eastAsia" w:ascii="仿宋" w:hAnsi="仿宋" w:eastAsia="仿宋" w:cs="仿宋"/>
          <w:sz w:val="24"/>
          <w:szCs w:val="24"/>
          <w:lang w:val="en-US" w:eastAsia="zh-CN"/>
        </w:rPr>
        <w:t>4300</w:t>
      </w:r>
      <w:r>
        <w:rPr>
          <w:rFonts w:hint="eastAsia" w:ascii="仿宋" w:hAnsi="仿宋" w:eastAsia="仿宋" w:cs="仿宋"/>
          <w:sz w:val="24"/>
          <w:szCs w:val="24"/>
        </w:rPr>
        <w:t>㎡</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lang w:val="en-US" w:eastAsia="zh-CN"/>
        </w:rPr>
      </w:pPr>
      <w:r>
        <w:rPr>
          <w:rFonts w:hint="eastAsia" w:ascii="仿宋" w:hAnsi="仿宋" w:eastAsia="仿宋" w:cs="仿宋"/>
          <w:sz w:val="24"/>
          <w:szCs w:val="24"/>
        </w:rPr>
        <w:t>3、消防维保服务范围包括：火灾自动报警系统、自动喷水灭火系统、消火栓系统、气体灭火系统、防火分隔设施、防排烟系统、应急照明及疏散指示、消防应急广播系统、灭火器等。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二、维保项目服务内容：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1）、火灾自动报警系统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1、点型感烟探测器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（1）每月采用发烟装置向探测器施放烟气，查看探测器报警确认灯、以及火灾报警控</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制器的火警信号显示。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（2）每月检查烟感器、温感器安装与底座接触是否良好，外观是否洁净完好；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（3）每月随机抽取不低于5%的烟感或温感检查，喷烟或加热后查看报警是否正确；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（4）每月消除探测器内及周围烟雾，报警控制器手动重定，观察探测器报警确认灯在重定前后的变化情况。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（5）每季度应对所有的点型感烟探测器采用抽测的方式进行测试。</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2、点型感温探测器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（1）每月检查点型感温探测器，使用温度不低于54℃的热源加热，查看探测器报警确认灯和火灾报警控制器火警信号显示；移开加热源，手动重定火灾报警控制器，查看探测器报警确认灯在重定前后的变化情况。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（2）每月检查烟感器、温感器安装与底座接触是否良好，外观是否洁净完好；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（3）每月随机抽取不低于5%的烟感或温感检查，喷烟或加热后查看报警是否正确；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（4）每月检查中应核对火灾探测器的地址是否正确。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（5）每月检查探测器，对于因环境条件的改变，而不能使用时，应及时更换。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3、手动报警按钮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（l） 每月检查手动报警按钮装置，检查有无损坏。如有损坏应及时更换，以免发生误报。</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（2）每月检查消防火灾报警控制器自检功能；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（3）每月检查手动报警按钮安装是否牢固，有无破损丢失；</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 4、火灾显示盘</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（1）每月检查接线端子有无松动情况，发现松动应用螺丝刀紧固，确保连接紧密。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（2）每月检查线路接头处有无氧化或锈蚀痕迹，若有则采取防潮、防锈措施，如镀锡和涂抹凡士林等。</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（3）每月发现螺栓、垫片及配件有生锈现象及时更换。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（4）每月用小毛刷将孔隙内的灰尘和杂质清扫出来，再用吸尘器清理干净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2）自动喷水灭火系统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（1）消防水泵组：外观检查、擦拭清洁表面、转动润滑、检测连接线路、接地状况、紧固接口端子、启动试运转、测试出水工作压力；</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（2）双电源切换柜：柜体外观检查、电气部分外观检查、连接线路、端口检查、清洁除尘、开关手动试验、电器联锁自动试验、双电源切换自投试验；</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（3）消火栓泵自控柜：柜体外观检查、电气部分外观检查、连接线路、端口检查、清洁除尘、开关手动试验、电器联锁自动试验、主备电机启动转换试验、外部信号远程试验；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（4）启泵按钮：外部检查、清洁除尘、模拟启泵试验；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 xml:space="preserve">（5）消火栓箱：外部检查、保洁、检查水枪、水带状况；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3）消火栓系统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(1）室内消火栓箱应经常保持清洁、干燥、防止锈蚀、碰伤或其他损坏。每半年至少进行一次全面检修。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(2)检查消火栓和消防卷盘供水闸阀是否渗漏水，若渗漏水及时更换密封圈。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(3)对消防水枪、水带、消防卷盘及其他配件进行检查，全部附件应齐全完好，卷盘转动灵活。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(4)检查消火栓启动按钮、指示灯及控制线路，应功能正常，无故障。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(5)消火栓箱及箱内装配的部件外观无破损，涂层无脱落，箱门玻璃完好无损。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(6)对消火栓及消防盘等所有转动部位应定期加注润滑油。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)气体灭火系统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1、每月巡查气体灭火控制器工作状态正常，盘面紧急启动按钮保护措施有效，检查主电是否正常，指示灯、显示屏、按钮、标签是否正常，钥匙、开关等是否在正常位置，系统是否设定在安全的工作状态。</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2、每月巡查防护区入口处灭火系统防护标志是否设置完好。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3、每月巡查灭火系统、柜式气体灭火装置喷嘴前2m内不得有阻碍气体释放的障碍物。</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4、每月巡查灭火系统的手动控制装置与应急操作处有防止误操作的警示显示与措施。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6、每月检查灭火系统的设备状态和运行状况应正常。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7、每季度检查可燃物种类、分布情况，防护区的开口情况，应符合设计规定。</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8、每季度检查连接管应无变形，裂纹及老化。必要时送法定质量检验机构进行检测或更换。</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9、每季度检查各喷嘴孔口应无堵塞。</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）防火分隔设施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1、防火门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（1）每月查看外观、关闭效果，双扇门的关闭顺序。</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（2）每季度对于疏散通道上设有出入口控制系统的防火门，自动或远端手动输出控制信号，查看出入口控制系统的解除情况及反馈信号。</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2、防火卷帘</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（1）每月查看外观。</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（2）每月启动防火卷帘门升降按钮，防火卷帘升降平稳，无阻滞。</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（3）每月检查控制箱内各电器触点及各接线端子，如有触点烧损现象，拆下后用砂纸打磨，用螺丝刀逐个紧固各接线端子，无松动。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（4）每月发散烟雾或不低于54℃热气测试其自动反应状况。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（5）每季度进行操作，查看卷帘运行情况反馈信号后重定。机械操作卷帘升降。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（6）每年检查一次机械部分，包括齿轮、锋条，如锈蚀用煤油清洗，然后加润滑油保护。</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6</w:t>
      </w:r>
      <w:r>
        <w:rPr>
          <w:rFonts w:hint="eastAsia" w:ascii="仿宋" w:hAnsi="仿宋" w:eastAsia="仿宋" w:cs="仿宋"/>
          <w:sz w:val="24"/>
          <w:szCs w:val="24"/>
        </w:rPr>
        <w:t>）防排烟系统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1、每月检查机械防烟、排烟系统应始终保持正常运行，不得随意断电或中断。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2、每月检查在正常工作状态下，正压送风机、排烟风机、通风空调风机电控柜等受控设备应处于自动控制状态，严禁将受控的正压送风机、排烟风机、通风空调风机等电控柜设置在手动位置。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3、每月检查机械加压送风系统、机械排烟系统风机的外观和标志牌；在控制室远程手动启、停风机，查看运行及信号反馈情况。</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4、每月检查断开主电源，挂上标示牌，检查电机接地是否良好。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5、每月检查坚固各部分松动的螺丝及联轴器。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6、每月检查电动机的绝缘电阻，检查主回路接触点。</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7、每月检查调整皮带松紧，手转皮带轮，观察转动是否良好。    </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7</w:t>
      </w:r>
      <w:r>
        <w:rPr>
          <w:rFonts w:hint="eastAsia" w:ascii="仿宋" w:hAnsi="仿宋" w:eastAsia="仿宋" w:cs="仿宋"/>
          <w:sz w:val="24"/>
          <w:szCs w:val="24"/>
        </w:rPr>
        <w:t>）应急照明疏散指示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1、每月检查出口指示灯玻璃面板有无划伤或破裂现象；</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2、每月检查出口指示灯电源指示灯是否亮，如不亮，应立即修理；</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3、每月检查出口指示灯安装是否牢固；</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4、每月针对检查中发现的缺陷取下来进行修复，再装回原位；</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5、每月检查灯箱外壳及面板擦抹干净。</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6、每季度进行一次备用电池亮灯（半个小时），使电池放电后再充电，延长电池寿命；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8</w:t>
      </w:r>
      <w:r>
        <w:rPr>
          <w:rFonts w:hint="eastAsia" w:ascii="仿宋" w:hAnsi="仿宋" w:eastAsia="仿宋" w:cs="仿宋"/>
          <w:sz w:val="24"/>
          <w:szCs w:val="24"/>
        </w:rPr>
        <w:t>）消防应急广播系统</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1、每月在消防控制室用话筒对所选区域播音，检查音响效果。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2、每月在广播扩音机处于关闭和播放状态下，自动和手动方式检查强制切换火灾应急广播。</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3、每月检查各切换器、继电器接线和触点，成件完整、牢固、接触良好，切换器灵活、可靠。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4、每月调节音量控制器，检查音量变化是否正常。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5、每月检查话筒及话筒放大器音量、音质是否正常。</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6、每月检查播音设备的运转和音质是否正常，要求运转正常、音质良好。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7、每月检查楼层呼叫控制器的开关工作是否正常，要求灵活、可靠。</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8、每季度在自动控制方式下检查，分别触发两个相关的火灾探测器或触发手动报警按钮后，核对启动火灾应急广播的区域、检查音响效果。</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9、每季度用声级计检查测试火灾应急广播前的环境噪音，当大于60dB时，重复测量启动火灾应急广播后扬声器播音范围内最远点的声压级，并与环境噪音对比。</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10、每季度对应急广播检查一遍，发现故障及时维修。</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9</w:t>
      </w:r>
      <w:r>
        <w:rPr>
          <w:rFonts w:hint="eastAsia" w:ascii="仿宋" w:hAnsi="仿宋" w:eastAsia="仿宋" w:cs="仿宋"/>
          <w:sz w:val="24"/>
          <w:szCs w:val="24"/>
        </w:rPr>
        <w:t>）灭火器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1、每月检查灭火器应设置在通风、干燥、清洁的地点，不得受到烈日曝晒，不得接近热源或受剧烈震动。</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2、每月检查灭火器设置地点应位置明显，便于取用，并且不影响安全疏散，推车式灭火器与其保护对象之间的通道应畅通无阻。</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lang w:eastAsia="zh-CN"/>
        </w:rPr>
      </w:pPr>
      <w:r>
        <w:rPr>
          <w:rFonts w:hint="eastAsia" w:ascii="仿宋" w:hAnsi="仿宋" w:eastAsia="仿宋" w:cs="仿宋"/>
          <w:sz w:val="24"/>
          <w:szCs w:val="24"/>
        </w:rPr>
        <w:t>3、每月检查灭火器喷筒是否畅通（如堵塞要及时疏通）；压力表指针是否在绿色区域；零部件是否完整（有无松动、变形、锈蚀、损坏）；可见部位防腐层是否完好</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4、每月检查灭火器铅封是否完好。</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r>
        <w:rPr>
          <w:rFonts w:hint="eastAsia" w:ascii="仿宋" w:hAnsi="仿宋" w:eastAsia="仿宋" w:cs="仿宋"/>
          <w:sz w:val="24"/>
          <w:szCs w:val="24"/>
        </w:rPr>
        <w:t>5、每一季度检查一次灭火器喷嘴和喷射管是否堵塞、腐蚀损坏，刚性连接式喷筒是否能将其轴线回转，并可在任意位置停留，推车式灭火器的行车机构是否灵活，有无检验标志。</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zMjkxMzNmZTVlMTg0MmJkYzM5ODU4NDcxZjRkOGMifQ=="/>
  </w:docVars>
  <w:rsids>
    <w:rsidRoot w:val="28635E00"/>
    <w:rsid w:val="20AF3E01"/>
    <w:rsid w:val="28635E00"/>
    <w:rsid w:val="51507BB9"/>
    <w:rsid w:val="573D4870"/>
    <w:rsid w:val="638D3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3252</Words>
  <Characters>3292</Characters>
  <Lines>0</Lines>
  <Paragraphs>0</Paragraphs>
  <TotalTime>2</TotalTime>
  <ScaleCrop>false</ScaleCrop>
  <LinksUpToDate>false</LinksUpToDate>
  <CharactersWithSpaces>3308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2022-03-03T02:30:00Z</dcterms:created>
  <dc:creator>@星火</dc:creator>
  <cp:lastModifiedBy>@星火</cp:lastModifiedBy>
  <cp:lastPrinted>2022-03-03T02:33:00Z</cp:lastPrinted>
  <dcterms:modified xsi:type="dcterms:W3CDTF">2023-05-11T09:11:48Z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0DCA65ECDE9349819CB7FA2DEE55D525_13</vt:lpwstr>
  </property>
</Properties>
</file>