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88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735"/>
        <w:gridCol w:w="1050"/>
        <w:gridCol w:w="3990"/>
        <w:gridCol w:w="1035"/>
        <w:gridCol w:w="900"/>
        <w:gridCol w:w="1140"/>
        <w:gridCol w:w="1305"/>
        <w:gridCol w:w="1605"/>
        <w:gridCol w:w="16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产品类型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品牌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型号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产品说明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总价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质保期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备注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核心交换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19685</wp:posOffset>
                  </wp:positionV>
                  <wp:extent cx="0" cy="1025525"/>
                  <wp:effectExtent l="0" t="0" r="0" b="0"/>
                  <wp:wrapNone/>
                  <wp:docPr id="1" name="Picture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三层交换机，交换容量396Gbps，包转发率144Mpps；24个10/100/1000M自适应电口,4个SFP光口；支持RIP，OSPF等路由协议；支持DHCP server；支持虚拟化；支持云简平台统一管理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防火墙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19685</wp:posOffset>
                  </wp:positionV>
                  <wp:extent cx="0" cy="786765"/>
                  <wp:effectExtent l="0" t="0" r="0" b="0"/>
                  <wp:wrapNone/>
                  <wp:docPr id="3" name="Picture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_1_SpCnt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全新下一代千兆防火墙，1U高度，单电源，固化8个千兆电口；2个combo口，2个bypass接口；可选配病毒库、攻击库、应用识别库、垃圾邮件库、网页分类库特征库升级服务。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接入交换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159385</wp:posOffset>
                  </wp:positionV>
                  <wp:extent cx="0" cy="551815"/>
                  <wp:effectExtent l="0" t="0" r="0" b="0"/>
                  <wp:wrapNone/>
                  <wp:docPr id="2" name="Picture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_1_SpCnt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二层web网管交换机，交换容量96Gbps，包转发率108Mpps，48口10/100/1000Mbps自适应电口交换机，固化4个SFP千兆光口，支持VLAN、ACL、端口镜像、端口聚合等功能，支持小贝APP和云简平台统一管理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2.00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室内接入交换机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5口千兆简单网管交换机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10.00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1F1C2071"/>
    <w:rsid w:val="1C8256C5"/>
    <w:rsid w:val="1F1C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375</Characters>
  <Lines>0</Lines>
  <Paragraphs>0</Paragraphs>
  <TotalTime>14</TotalTime>
  <ScaleCrop>false</ScaleCrop>
  <LinksUpToDate>false</LinksUpToDate>
  <CharactersWithSpaces>376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2023-05-29T06:50:00Z</dcterms:created>
  <dc:creator>@星火</dc:creator>
  <cp:lastModifiedBy>@星火</cp:lastModifiedBy>
  <dcterms:modified xsi:type="dcterms:W3CDTF">2023-05-29T07:51:30Z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1973B74148C54A1EB1BDB8EC37AE1A37_11</vt:lpwstr>
  </property>
</Properties>
</file>