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1、配备紫外灯/荧光灯  20W*1/30W*1。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2、隔离区匀流洁净空气抗干扰更强，舒适度更高。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3、采用与隔离装置同品牌的大规格无隔板铝框高效空气过滤器。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4、隔离装置内空气洁净度至少达到ISO5级(百级)，对于≥0.3微米的尘埃和细菌过滤效率≥99.99%。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5、风速：0.15m/s-0.25m/s。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6、超低静音： 常规运行噪音小于等于46分贝，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7、配置高透明的医用软围帘，方便使用和更换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8、垂直匀流送风</w:t>
      </w:r>
      <w:r>
        <w:rPr>
          <w:rFonts w:hint="eastAsia"/>
          <w:sz w:val="28"/>
          <w:szCs w:val="28"/>
          <w:lang w:val="en-US" w:eastAsia="zh-CN"/>
        </w:rPr>
        <w:t>使</w:t>
      </w:r>
      <w:r>
        <w:rPr>
          <w:rFonts w:hint="eastAsia"/>
          <w:sz w:val="28"/>
          <w:szCs w:val="28"/>
        </w:rPr>
        <w:t>患者更舒适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9、标准品组件，规模化制造，便于现场快速组装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10、菌落数：小于1个/(Φ90mm.0.5h)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11、外形尺寸：2250L*1100W*2300H(mm)，正负误差不得超过5mm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12、内部尺寸：2150L*1000W*1800H(mm)，正负误差不得超过5mm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27F225E6"/>
    <w:rsid w:val="27F225E6"/>
    <w:rsid w:val="681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333</Characters>
  <Lines>0</Lines>
  <Paragraphs>0</Paragraphs>
  <TotalTime>2</TotalTime>
  <ScaleCrop>false</ScaleCrop>
  <LinksUpToDate>false</LinksUpToDate>
  <CharactersWithSpaces>355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2023-06-01T06:59:00Z</dcterms:created>
  <dc:creator>@星火</dc:creator>
  <cp:lastModifiedBy>@星火</cp:lastModifiedBy>
  <dcterms:modified xsi:type="dcterms:W3CDTF">2023-06-01T07:02:27Z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8A14DDB4D93A4DE3BA3C95BA8B4A2566_11</vt:lpwstr>
  </property>
</Properties>
</file>