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技术参数</w:t>
      </w:r>
    </w:p>
    <w:p>
      <w:pPr>
        <w:pStyle w:val="2"/>
        <w:numPr>
          <w:ilvl w:val="0"/>
          <w:numId w:val="0"/>
        </w:numPr>
        <w:ind w:firstLine="444" w:firstLineChars="200"/>
        <w:rPr>
          <w:rFonts w:hint="eastAsia" w:ascii="Times New Roman" w:hAnsi="Times New Roman" w:cs="Times New Roman" w:eastAsiaTheme="minorEastAsia"/>
          <w:bCs/>
          <w:spacing w:val="6"/>
          <w:kern w:val="2"/>
          <w:sz w:val="21"/>
          <w:szCs w:val="21"/>
          <w:lang w:val="zh-CN" w:eastAsia="zh-CN" w:bidi="ar-SA"/>
        </w:rPr>
      </w:pPr>
      <w:r>
        <w:rPr>
          <w:rFonts w:hint="eastAsia" w:cs="Times New Roman" w:eastAsiaTheme="minorEastAsia"/>
          <w:bCs/>
          <w:spacing w:val="6"/>
          <w:kern w:val="2"/>
          <w:sz w:val="21"/>
          <w:szCs w:val="21"/>
          <w:lang w:val="en-US" w:eastAsia="zh-CN" w:bidi="ar-SA"/>
        </w:rPr>
        <w:t>1.</w:t>
      </w:r>
      <w:r>
        <w:rPr>
          <w:rFonts w:hint="eastAsia" w:ascii="Times New Roman" w:hAnsi="Times New Roman" w:cs="Times New Roman" w:eastAsiaTheme="minorEastAsia"/>
          <w:bCs/>
          <w:spacing w:val="6"/>
          <w:kern w:val="2"/>
          <w:sz w:val="21"/>
          <w:szCs w:val="21"/>
          <w:lang w:val="zh-CN" w:eastAsia="zh-CN" w:bidi="ar-SA"/>
        </w:rPr>
        <w:t>基本配置：高端CT一台，球管、探测器，检查床，</w:t>
      </w:r>
      <w:r>
        <w:rPr>
          <w:rFonts w:hint="eastAsia" w:cs="Times New Roman" w:eastAsiaTheme="minorEastAsia"/>
          <w:bCs/>
          <w:spacing w:val="6"/>
          <w:kern w:val="2"/>
          <w:sz w:val="21"/>
          <w:szCs w:val="21"/>
          <w:lang w:val="en-US" w:eastAsia="zh-CN" w:bidi="ar-SA"/>
        </w:rPr>
        <w:t>原厂</w:t>
      </w:r>
      <w:r>
        <w:rPr>
          <w:rFonts w:hint="eastAsia" w:ascii="Times New Roman" w:hAnsi="Times New Roman" w:cs="Times New Roman" w:eastAsiaTheme="minorEastAsia"/>
          <w:bCs/>
          <w:spacing w:val="6"/>
          <w:kern w:val="2"/>
          <w:sz w:val="21"/>
          <w:szCs w:val="21"/>
          <w:lang w:val="zh-CN" w:eastAsia="zh-CN" w:bidi="ar-SA"/>
        </w:rPr>
        <w:t>后处理工作站，人工智能辅助诊断系统，高压注射器，图文报告工作站，医用显示器，标准影像工作台，空气消毒机，主机及后处理UPS，防护用品，冷光观片灯，投影仪等。</w:t>
      </w:r>
    </w:p>
    <w:p>
      <w:pPr>
        <w:pStyle w:val="2"/>
        <w:numPr>
          <w:ilvl w:val="0"/>
          <w:numId w:val="0"/>
        </w:numPr>
        <w:ind w:firstLine="444" w:firstLineChars="200"/>
        <w:rPr>
          <w:rFonts w:hint="eastAsia" w:ascii="Times New Roman" w:hAnsi="Times New Roman" w:cs="Times New Roman" w:eastAsiaTheme="minorEastAsia"/>
          <w:bCs/>
          <w:spacing w:val="6"/>
          <w:kern w:val="2"/>
          <w:sz w:val="21"/>
          <w:szCs w:val="21"/>
          <w:lang w:val="zh-CN" w:eastAsia="zh-CN" w:bidi="ar-SA"/>
        </w:rPr>
      </w:pPr>
      <w:r>
        <w:rPr>
          <w:rFonts w:hint="eastAsia" w:cs="Times New Roman" w:eastAsiaTheme="minorEastAsia"/>
          <w:bCs/>
          <w:spacing w:val="6"/>
          <w:kern w:val="2"/>
          <w:sz w:val="21"/>
          <w:szCs w:val="21"/>
          <w:lang w:val="en-US" w:eastAsia="zh-CN" w:bidi="ar-SA"/>
        </w:rPr>
        <w:t>2.</w:t>
      </w:r>
      <w:r>
        <w:rPr>
          <w:rFonts w:hint="eastAsia" w:ascii="Times New Roman" w:hAnsi="Times New Roman" w:cs="Times New Roman" w:eastAsiaTheme="minorEastAsia"/>
          <w:bCs/>
          <w:spacing w:val="6"/>
          <w:kern w:val="2"/>
          <w:sz w:val="21"/>
          <w:szCs w:val="21"/>
          <w:lang w:val="zh-CN" w:eastAsia="zh-CN" w:bidi="ar-SA"/>
        </w:rPr>
        <w:t>参数要求：</w:t>
      </w:r>
    </w:p>
    <w:tbl>
      <w:tblPr>
        <w:tblStyle w:val="5"/>
        <w:tblW w:w="95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2"/>
        <w:gridCol w:w="2980"/>
        <w:gridCol w:w="5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*1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硬件平台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要求投标产品的核心硬件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球管、探测器、高压发生器等核心部件均为同一品牌生产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一</w:t>
            </w:r>
          </w:p>
        </w:tc>
        <w:tc>
          <w:tcPr>
            <w:tcW w:w="8080" w:type="dxa"/>
            <w:gridSpan w:val="2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CT系统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8080" w:type="dxa"/>
            <w:gridSpan w:val="2"/>
            <w:noWrap w:val="0"/>
            <w:vAlign w:val="center"/>
          </w:tcPr>
          <w:p>
            <w:pPr>
              <w:spacing w:after="0" w:line="240" w:lineRule="auto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机架系统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*1.1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机架孔径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≥80cm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1.2</w:t>
            </w:r>
          </w:p>
        </w:tc>
        <w:tc>
          <w:tcPr>
            <w:tcW w:w="2980" w:type="dxa"/>
            <w:noWrap w:val="0"/>
            <w:vAlign w:val="bottom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机架控制面板</w:t>
            </w:r>
          </w:p>
        </w:tc>
        <w:tc>
          <w:tcPr>
            <w:tcW w:w="5100" w:type="dxa"/>
            <w:noWrap w:val="0"/>
            <w:vAlign w:val="bottom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≥4个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1.3</w:t>
            </w:r>
          </w:p>
        </w:tc>
        <w:tc>
          <w:tcPr>
            <w:tcW w:w="2980" w:type="dxa"/>
            <w:noWrap w:val="0"/>
            <w:vAlign w:val="bottom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机架冷却方式</w:t>
            </w:r>
          </w:p>
        </w:tc>
        <w:tc>
          <w:tcPr>
            <w:tcW w:w="5100" w:type="dxa"/>
            <w:noWrap w:val="0"/>
            <w:vAlign w:val="bottom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水冷或风冷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1.4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无接触静音滑环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2</w:t>
            </w:r>
          </w:p>
        </w:tc>
        <w:tc>
          <w:tcPr>
            <w:tcW w:w="8080" w:type="dxa"/>
            <w:gridSpan w:val="2"/>
            <w:noWrap w:val="0"/>
            <w:vAlign w:val="center"/>
          </w:tcPr>
          <w:p>
            <w:pPr>
              <w:spacing w:after="0" w:line="240" w:lineRule="auto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X线部分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2.1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X线球管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</w:rPr>
              <w:t>2.1.1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</w:rPr>
              <w:t>球管设计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</w:rPr>
              <w:t>液态金属轴承球管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*2.1.3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阳极等效热容量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≥3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MHU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*2.1.4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球管靶面最大散热率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≥1690kHU/min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</w:rPr>
              <w:t>2.1.5</w:t>
            </w:r>
          </w:p>
        </w:tc>
        <w:tc>
          <w:tcPr>
            <w:tcW w:w="2980" w:type="dxa"/>
            <w:shd w:val="clear" w:color="auto" w:fill="auto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双平板阴极电子发射器</w:t>
            </w:r>
          </w:p>
        </w:tc>
        <w:tc>
          <w:tcPr>
            <w:tcW w:w="5100" w:type="dxa"/>
            <w:shd w:val="clear" w:color="auto" w:fill="auto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具备（提供datasheet技术证明）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</w:rPr>
              <w:t>2.1.6</w:t>
            </w:r>
          </w:p>
        </w:tc>
        <w:tc>
          <w:tcPr>
            <w:tcW w:w="2980" w:type="dxa"/>
            <w:shd w:val="clear" w:color="auto" w:fill="auto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数字化磁场焦点控制</w:t>
            </w:r>
          </w:p>
        </w:tc>
        <w:tc>
          <w:tcPr>
            <w:tcW w:w="5100" w:type="dxa"/>
            <w:shd w:val="clear" w:color="auto" w:fill="auto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具备（提供datasheet技术证明）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2.1.7</w:t>
            </w:r>
          </w:p>
        </w:tc>
        <w:tc>
          <w:tcPr>
            <w:tcW w:w="2980" w:type="dxa"/>
            <w:shd w:val="clear" w:color="auto" w:fill="auto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球管焦点个数</w:t>
            </w:r>
          </w:p>
        </w:tc>
        <w:tc>
          <w:tcPr>
            <w:tcW w:w="5100" w:type="dxa"/>
            <w:shd w:val="clear" w:color="auto" w:fill="auto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≥3个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2.1.8</w:t>
            </w:r>
          </w:p>
        </w:tc>
        <w:tc>
          <w:tcPr>
            <w:tcW w:w="2980" w:type="dxa"/>
            <w:shd w:val="clear" w:color="auto" w:fill="auto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小焦点</w:t>
            </w:r>
          </w:p>
        </w:tc>
        <w:tc>
          <w:tcPr>
            <w:tcW w:w="5100" w:type="dxa"/>
            <w:shd w:val="clear" w:color="auto" w:fill="auto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≤1.0mm×0.7mm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2.1.9</w:t>
            </w:r>
          </w:p>
        </w:tc>
        <w:tc>
          <w:tcPr>
            <w:tcW w:w="2980" w:type="dxa"/>
            <w:shd w:val="clear" w:color="auto" w:fill="auto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大焦点</w:t>
            </w:r>
          </w:p>
        </w:tc>
        <w:tc>
          <w:tcPr>
            <w:tcW w:w="5100" w:type="dxa"/>
            <w:shd w:val="clear" w:color="auto" w:fill="auto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≤1.8mm×1.5mm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2.1.10</w:t>
            </w:r>
          </w:p>
        </w:tc>
        <w:tc>
          <w:tcPr>
            <w:tcW w:w="2980" w:type="dxa"/>
            <w:shd w:val="clear" w:color="auto" w:fill="auto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单球管支持电压瞬时切换功能</w:t>
            </w:r>
          </w:p>
        </w:tc>
        <w:tc>
          <w:tcPr>
            <w:tcW w:w="5100" w:type="dxa"/>
            <w:shd w:val="clear" w:color="auto" w:fill="auto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具备在高压140KV和低压80KV进行瞬时切换能力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2.1.11</w:t>
            </w:r>
          </w:p>
        </w:tc>
        <w:tc>
          <w:tcPr>
            <w:tcW w:w="2980" w:type="dxa"/>
            <w:shd w:val="clear" w:color="auto" w:fill="auto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单球管电压切换周期</w:t>
            </w:r>
          </w:p>
        </w:tc>
        <w:tc>
          <w:tcPr>
            <w:tcW w:w="5100" w:type="dxa"/>
            <w:shd w:val="clear" w:color="auto" w:fill="auto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≤0.25ms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2.1.12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单球管支持电流瞬时切换功能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2.1.13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单球管电流切换周期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≤0.25ms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2.1.14</w:t>
            </w:r>
          </w:p>
        </w:tc>
        <w:tc>
          <w:tcPr>
            <w:tcW w:w="2980" w:type="dxa"/>
            <w:shd w:val="clear" w:color="auto" w:fill="auto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单球管支持电压电流同步瞬时切换功能</w:t>
            </w:r>
          </w:p>
        </w:tc>
        <w:tc>
          <w:tcPr>
            <w:tcW w:w="5100" w:type="dxa"/>
            <w:shd w:val="clear" w:color="auto" w:fill="auto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2.1.15</w:t>
            </w:r>
          </w:p>
        </w:tc>
        <w:tc>
          <w:tcPr>
            <w:tcW w:w="2980" w:type="dxa"/>
            <w:shd w:val="clear" w:color="auto" w:fill="auto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单球管提供高电压低电流和低电压高电流匹配功能</w:t>
            </w:r>
          </w:p>
        </w:tc>
        <w:tc>
          <w:tcPr>
            <w:tcW w:w="5100" w:type="dxa"/>
            <w:shd w:val="clear" w:color="auto" w:fill="auto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2.1.16</w:t>
            </w:r>
          </w:p>
        </w:tc>
        <w:tc>
          <w:tcPr>
            <w:tcW w:w="2980" w:type="dxa"/>
            <w:shd w:val="clear" w:color="auto" w:fill="auto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高频逆变式高压发生器</w:t>
            </w:r>
          </w:p>
        </w:tc>
        <w:tc>
          <w:tcPr>
            <w:tcW w:w="5100" w:type="dxa"/>
            <w:shd w:val="clear" w:color="auto" w:fill="auto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*2.2.1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最大功率（非等效）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＞100kW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*2.2.2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单球管最高输出管电流（非等效）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≥1200mA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2.2.3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最低输出管电流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≤10mA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2.2.4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最高输出管电压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≥140kV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2.2.5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最低输出管电压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≤70kV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2.2.6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输出管电压档位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≥5档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2.2.7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高压发生器提供电压、电流同步瞬时切换功能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3</w:t>
            </w:r>
          </w:p>
        </w:tc>
        <w:tc>
          <w:tcPr>
            <w:tcW w:w="8080" w:type="dxa"/>
            <w:gridSpan w:val="2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探测器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3.1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探测器类型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提供最新型探测器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*3.2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探测器排数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≥256排或</w:t>
            </w:r>
            <w:r>
              <w:rPr>
                <w:rFonts w:hint="eastAsia" w:ascii="宋体" w:hAnsi="宋体" w:eastAsia="宋体" w:cs="宋体"/>
                <w:b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</w:rPr>
              <w:t>双源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96排探测器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3.3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轴扫探测器每圈采集层数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≥512层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3.4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单圈轴位扫描覆盖范围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≥16cm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*3.5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 xml:space="preserve">每组探测器在等中心线覆盖的Z轴准直宽度 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≥16cm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3.6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 xml:space="preserve">轴扫探测器可使用最大宽度 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≥16cm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3.7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 xml:space="preserve">螺旋扫探测器可使用最大宽度 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≥8cm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*3.8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每排探测器物理单元个数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≥800个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*3.9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探测器物理总数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≥210000个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3.10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3D准直器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配备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3.11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探测器数据采集系统(DAS)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3.12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探测器数据采集系统(DAS)每秒数据采样率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≥8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00Hz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4</w:t>
            </w:r>
          </w:p>
        </w:tc>
        <w:tc>
          <w:tcPr>
            <w:tcW w:w="8080" w:type="dxa"/>
            <w:gridSpan w:val="2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检查床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4.1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最大扫描范围（螺扫时）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≥185cm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4.2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定位精度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≤±0.25mm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4.3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最大载重量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≥200kg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4.4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检查床水平移动最大速度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≥200mm/s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4.5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检查床可扫描水平范围(带头托)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≥200cm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4.6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检查床垂直升降最高点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≥100cm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5</w:t>
            </w:r>
          </w:p>
        </w:tc>
        <w:tc>
          <w:tcPr>
            <w:tcW w:w="8080" w:type="dxa"/>
            <w:gridSpan w:val="2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扫描参数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5.1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常规扫描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5.1.1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动态电影扫描范围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≥16cm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5.1.2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16cm全脑覆盖的连续扫描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5.1.3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单心跳冠脉扫描最大成像层数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≥512层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5.1.4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心脏扫描智能准直宽度选取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5.1.5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 xml:space="preserve">探测器可选宽度 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≥5档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5.1.6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覆盖全心心肌灌注功能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5.1.7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轴扫和螺旋融合扫描功能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具备，可以在一次图像采集中进行轴扫和螺旋的融合扫描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5.1.8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轴扫切换至螺旋扫描的切换时间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≤3s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5.1.9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最短扫描时间(360°)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≤0.28s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5.1.10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机架旋转360°转速可选档位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≥8档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5.1.11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最大扫描视野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≥50cm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5.1.12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最薄扫描层厚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≤0.625mm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5.1.13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一次连续螺旋扫描能力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≥60秒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5.1.14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3D自动毫安调节技术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5.1.15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图像重建矩阵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512×512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5.1.16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图像显示矩阵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1024×1024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5.1.17</w:t>
            </w:r>
          </w:p>
        </w:tc>
        <w:tc>
          <w:tcPr>
            <w:tcW w:w="2980" w:type="dxa"/>
            <w:shd w:val="clear" w:color="auto" w:fill="auto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单心跳冠脉扫描采集的数据可用于完整冠脉成像及心功能分析</w:t>
            </w:r>
          </w:p>
        </w:tc>
        <w:tc>
          <w:tcPr>
            <w:tcW w:w="5100" w:type="dxa"/>
            <w:shd w:val="clear" w:color="auto" w:fill="auto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5.1.18</w:t>
            </w:r>
          </w:p>
        </w:tc>
        <w:tc>
          <w:tcPr>
            <w:tcW w:w="2980" w:type="dxa"/>
            <w:shd w:val="clear" w:color="auto" w:fill="auto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单个心动周期内实现冠脉成像功能</w:t>
            </w:r>
          </w:p>
        </w:tc>
        <w:tc>
          <w:tcPr>
            <w:tcW w:w="5100" w:type="dxa"/>
            <w:shd w:val="clear" w:color="auto" w:fill="auto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5.1.19</w:t>
            </w:r>
          </w:p>
        </w:tc>
        <w:tc>
          <w:tcPr>
            <w:tcW w:w="2980" w:type="dxa"/>
            <w:shd w:val="clear" w:color="auto" w:fill="auto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时间分辨率</w:t>
            </w:r>
          </w:p>
        </w:tc>
        <w:tc>
          <w:tcPr>
            <w:tcW w:w="5100" w:type="dxa"/>
            <w:shd w:val="clear" w:color="auto" w:fill="auto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≤25ms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5.2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低剂量方案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5.2.1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自动曝光控制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5.2.2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三维剂量调节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5.2.3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敏感器官保护功能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具备（提供datasheet技术证明）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5.2.4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70kV扫描模式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5.2.5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儿童协议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具备（提供datasheet技术证明）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5.2.6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自动对身体不同部位进行射线滤过调整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5.2.7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剂量提示和剂量预警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5.2.8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提供自动的剂量计算、显示和报告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5.2.9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提供降剂量重建算法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2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6</w:t>
            </w:r>
          </w:p>
        </w:tc>
        <w:tc>
          <w:tcPr>
            <w:tcW w:w="8080" w:type="dxa"/>
            <w:gridSpan w:val="2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分辨率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6.1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高对比度空间分辨率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≤0.23mm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6.2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空间分辨率(标准模式下)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≥21.0Lp/cm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7</w:t>
            </w:r>
          </w:p>
        </w:tc>
        <w:tc>
          <w:tcPr>
            <w:tcW w:w="8080" w:type="dxa"/>
            <w:gridSpan w:val="2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主控系统平台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7.1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主频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≥8*3.0GHz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7.2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内存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≥64 GB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7.3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存储容量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≥3.5 TB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7.4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图像存储量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≥2,000,000幅（512X512不压缩）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7.5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图像重建速度（FBP）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≥65fps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7.6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图像重建速度（迭代）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≥25fps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7.7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平面显示器尺寸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≥24英寸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7.8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液晶平面显示器个数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≥2 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7.9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平面显示器分辨率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≥1920*1200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7.10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一体化USB3.0外置硬盘接口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7.11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用户操作界面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图文可视化操作界面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7.12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具备多窗口多任务处理功能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7.13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可同时进行操作的病人扫描数量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≥3个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7.14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扫描序列的关键词高级搜素功能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7.15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并行重建功能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并行处理多种模式的图像的重建与重组，可以在一个扫方案中预置和完成不同算法的重建任务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7.16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同步并行处理功能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扫描、重建、显示、存储、打印等操作可同步进行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7.17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双向交流系统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自动病人呼吸屏气辅助控制系统，双向语音传输，并且可用户录制病人呼吸指令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7.18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DICOM3.0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提供DICOM3.0激光相机接口（传输/接收/打印/存档/查询/工作表等）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7.19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图像多点自动实时传送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要求同时实时传送至多个工作站和PACS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8</w:t>
            </w:r>
          </w:p>
        </w:tc>
        <w:tc>
          <w:tcPr>
            <w:tcW w:w="8080" w:type="dxa"/>
            <w:gridSpan w:val="2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高级独立三维图像处理工作站平台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8.1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工作站数量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8.2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主频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6核*3.7Ghz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8.3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内存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 xml:space="preserve">64G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8.4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存储容量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1024GB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8.5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监视器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19"LCD高分辨率彩显，2台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8.6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所有接口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DICOM3.0，与主机一致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8.7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网卡连接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8.8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彩色打印接口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8.9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工作站图像信息智能搜索平台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具备，能够自动地根据病人信息从PACS系统中调用DICOM图像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8.10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多任务自动处理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具备，能够自动在内存中加载工作站中存储的病例数据，并在后台中进行处理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8.11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放射科信息管理系统自动连接功能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9</w:t>
            </w:r>
          </w:p>
        </w:tc>
        <w:tc>
          <w:tcPr>
            <w:tcW w:w="8080" w:type="dxa"/>
            <w:gridSpan w:val="2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临床应用软件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9.1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图像分析工具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9.2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图像二维分析系统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9.3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图像三维分析系统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9.4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自动轮廓勾画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9.5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序列对比工具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9.6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动态三维分析工具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9.7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曲面重建感兴趣区放置工具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9.8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多期相融合分析技术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9.9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电影模式工具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9.10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透明重建工具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9.11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多元三维处理工具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9.12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表面重建工具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9.13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直接三维兼容工具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9.14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三维内窥镜分析工具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9.15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智能自动中心飞行工具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9.16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鱼眼模式分析工具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9.17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管腔模式分析工具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9.18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自动割手术刀模式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10</w:t>
            </w:r>
          </w:p>
        </w:tc>
        <w:tc>
          <w:tcPr>
            <w:tcW w:w="8080" w:type="dxa"/>
            <w:gridSpan w:val="2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心脏解剖结构分析诊疗平台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10.1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钙化积分软件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10.2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零键式心脏工作流程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10.2.1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心脏全自动分析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10.2.2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冠状动脉树自动提取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10.2.3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冠状动脉名称自动标识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10.2.4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冠状动脉长度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10.2.5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冠脉横断面积测量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10.2.6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冠脉狭窄度测量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10.2.7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冠脉官腔体积测量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10.2.8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冠脉平均直径测量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10.2.9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冠状斑块彩色编码定性分析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10.2.10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冠脉斑块体积定量分析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10.2.11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冠状动脉搭桥及支架显示、分析和置放计划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10.2.12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类血管内超声功能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10.2.13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多期相重建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10.2.14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心脏彩色透明显示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10.2.15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心导管介入式显示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10.2.16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心脏主动脉瓣膜、二尖瓣运动分析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11</w:t>
            </w:r>
          </w:p>
        </w:tc>
        <w:tc>
          <w:tcPr>
            <w:tcW w:w="8080" w:type="dxa"/>
            <w:gridSpan w:val="2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心功能分析诊疗平台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11.1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自动探测心腔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11.2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自动测量射血分数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11.3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自动心肌功能分析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12</w:t>
            </w:r>
          </w:p>
        </w:tc>
        <w:tc>
          <w:tcPr>
            <w:tcW w:w="8080" w:type="dxa"/>
            <w:gridSpan w:val="2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动态心肌灌注评估及TAVI术前规划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12.1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心肌灌注分析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12.1.1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心脏重构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具备，图像自动定位、识别并呈短轴位和长轴位视图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12.1.2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心脏自动分段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具备，定义瓣膜平面和心脏顶点。然后，软件将计算心内膜和心外膜边界，并提供心肌的17个分段的地图，以及每个分段的图形视图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12.1.3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心脏组织定量数据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具备，用彩色信息和牛眼图产生血流量、血容量、平均增加斜率和平均通过时间等定量数据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12.2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TAVI/TAVR术前规划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12.2.1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主动脉分析及自动分段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12.2.2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瓣膜界定工具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12.2.3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瓣膜平面自动检测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12.2.4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主动脉环轮廓测量工具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13</w:t>
            </w:r>
          </w:p>
        </w:tc>
        <w:tc>
          <w:tcPr>
            <w:tcW w:w="8080" w:type="dxa"/>
            <w:gridSpan w:val="2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全自动血管分析诊疗平台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13.1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自动血管循迹，提取和显示以及血管尺寸的测量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13.2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自动探查血管中轴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13.3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快速循迹血管分支成像，分别显示弯曲血管，血管横，纵，斜截面图象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13.4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可以在两个主要血管之间添加分支改善血管中轴循迹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13.5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编辑血管轮廓时自动插入临近血管信息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13.6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管腔曲面重建成像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13.7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最佳纵轴重建成像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 xml:space="preserve">具备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13.8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对操作者选定血管节段进行定性和定量分析，包括（血管长度、横截面积、血管狭窄比率、容积、血管平均直径、最小直径、最大直径）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 xml:space="preserve">具备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13.9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通过全自动主动脉，髂动脉跟踪技术实现主动脉自动成像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 xml:space="preserve">具备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13.10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对血栓进行自动检测和分析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 xml:space="preserve">具备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14</w:t>
            </w:r>
          </w:p>
        </w:tc>
        <w:tc>
          <w:tcPr>
            <w:tcW w:w="8080" w:type="dxa"/>
            <w:gridSpan w:val="2"/>
            <w:noWrap w:val="0"/>
            <w:vAlign w:val="center"/>
          </w:tcPr>
          <w:p>
            <w:pPr>
              <w:spacing w:after="0" w:line="240" w:lineRule="auto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全息仿生及影像实体转化平台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14.1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全息仿生成像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14.1.1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高分辨率实时渲染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14.1.2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多体积渲染模型融合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14.1.3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影像阈值独立调整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15</w:t>
            </w:r>
          </w:p>
        </w:tc>
        <w:tc>
          <w:tcPr>
            <w:tcW w:w="8080" w:type="dxa"/>
            <w:gridSpan w:val="2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全身综合高级分析诊疗平台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15.1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一键去骨技术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15.2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尿路造影技术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15.3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头颈部CTA同步数字减影技术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15.4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脑出血测量工具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15.5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脑表面积分分析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15.6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腹部诊断软件包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15.7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肝脏多期相融合技术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15.8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肝体积测量工具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15.9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腹腔脂肪测量软件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15.10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骨科软件包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15.11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骨骼内固定支架透视技术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15.12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骨科畸形矫正评估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15.13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内耳多功能成像技术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15.14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全景齿科成像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15.15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高级融合软件包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16</w:t>
            </w:r>
          </w:p>
        </w:tc>
        <w:tc>
          <w:tcPr>
            <w:tcW w:w="8080" w:type="dxa"/>
            <w:gridSpan w:val="2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全身肿瘤评估及灌注分析诊疗平台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16.1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高级肝脏分析软件包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16.1.1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肝分割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16.1.2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肝病变分割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16.1.3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肝脏和肝叶分段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16.1.4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肿瘤负荷计算分析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16.1.5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随访检查功能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16.2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4D高级灌注软件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16.2.1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通用灌注分析参数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16.2.2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自动分析血容量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16.2.3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自动分析血流量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16.2.4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自动分析平均通过时间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16.2.5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自动分析毛细血管表面渗透性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16.2.6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自动分析对比剂到达时间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16.2.7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灌注模板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16.2.8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标准灌注模板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16.2.9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脑卒中灌注模板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16.2.10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脑卒中全自动灌注模板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16.2.11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脑肿瘤灌注模板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16.2.12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脑肿瘤全自动灌注模板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16.2.13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体部肿瘤灌注模板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16.2.14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肝肿瘤灌注模板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16.2.15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胰腺灌注模板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16.2.16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前列腺灌注模板肾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16.2.17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脾脏灌注模板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16.2.18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软组织灌注模板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16.2.19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骨灌注模板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17</w:t>
            </w:r>
          </w:p>
        </w:tc>
        <w:tc>
          <w:tcPr>
            <w:tcW w:w="8080" w:type="dxa"/>
            <w:gridSpan w:val="2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高级神经诊疗平台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17.1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缺血性卒中诊疗分析软件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17.1.1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工作流程线性优化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17.1.2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侧枝血管查看分析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17.1.3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颜色编码分析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17.2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脑血肿及动脉瘤诊疗分析软件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17.2.1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血肿工具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17.2.2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血肿分段分析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17.2.3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动脉瘤工具及评估分析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17.2.4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动脉瘤检测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18</w:t>
            </w:r>
          </w:p>
        </w:tc>
        <w:tc>
          <w:tcPr>
            <w:tcW w:w="8080" w:type="dxa"/>
            <w:gridSpan w:val="2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高级骨关节分析诊疗平台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18.1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高精度脊柱自动识别与标记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18.2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在5秒内标记椎骨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18.3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脊柱自动生成曲线重新格式化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18.4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多工作流程和多检查类型访问：创伤、肿瘤学、专用脊柱、一般成像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19</w:t>
            </w:r>
          </w:p>
        </w:tc>
        <w:tc>
          <w:tcPr>
            <w:tcW w:w="8080" w:type="dxa"/>
            <w:gridSpan w:val="2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肺部呼吸系统分析诊疗平台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19.1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肺结节分析软件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19.1.1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自动肺组织提取重建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19.1.2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自动筛选并突出显示异常和潜在恶性的肺实质性结节病灶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19.1.3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定量分析结节的容积、成份、密度及倍增时间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19.2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全自动呼吸系统软件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19.2.1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全自动肺叶及气道自动分离技术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19.2.2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全自动气道壁和管腔内外壁的直径测量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19.2.3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全自动肺气肿分析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20</w:t>
            </w:r>
          </w:p>
        </w:tc>
        <w:tc>
          <w:tcPr>
            <w:tcW w:w="8080" w:type="dxa"/>
            <w:gridSpan w:val="2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全自动结肠分析诊疗平台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20.1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自动结肠提取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20.2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结肠中心线跟踪技术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20.3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全结肠内镜电影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20.4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自动去小肠功能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20.5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360°结肠平铺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20.6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全自动高分辨率内镜飞行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20.7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虚拟活检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20.8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仰卧位、俯卧位 息肉自动定位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20.9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自动清除含对比剂标记的粪便和液体（包括对比剂）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21</w:t>
            </w:r>
          </w:p>
        </w:tc>
        <w:tc>
          <w:tcPr>
            <w:tcW w:w="8080" w:type="dxa"/>
            <w:gridSpan w:val="2"/>
            <w:noWrap w:val="0"/>
            <w:vAlign w:val="center"/>
          </w:tcPr>
          <w:p>
            <w:pPr>
              <w:spacing w:after="0" w:line="240" w:lineRule="auto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能谱容积分析诊疗平台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5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21.1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能谱扫描时单球管80KV/140KV高低压间瞬时切换周期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≤0.25ms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21.2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最快能量时间分辨率下的能谱成像扫描FOV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≥50cm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21.3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能谱物质分离种类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≥10种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21.5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能谱物质拓展平台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21.5.1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能谱物质数据库可按实际需求提供扩展性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21.6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单能量图像分析平台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21.6.1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单能量图像查看工具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21.6.2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单能量图像比对功能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21.6.3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最佳信噪比工具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21.6.4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单能量血管成像工具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21.6.5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单能量硬化效应消除工具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21.6.6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能谱金属伪影消除工具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21.6.7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能谱曲线归一化比对工具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21.6.8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新物质标准衰减曲线添加功能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21.7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基物质分析平台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21.7.1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直方图分析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21.7.2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能谱基物质比对功能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21.7.3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新基物质添加功能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21.7.4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能谱虚拟平扫功能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21.7.5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能谱肺栓塞分析功能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21.7.6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能谱骨密度分析功能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21.7.7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能谱甲状腺摄碘能力分析功能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21.8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有效原子序数分析平台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21.8.1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有效原子序数数据库添加功能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21.8.2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有效原子序数结石定性分析功能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top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980" w:type="dxa"/>
            <w:noWrap w:val="0"/>
            <w:vAlign w:val="top"/>
          </w:tcPr>
          <w:p>
            <w:pPr>
              <w:snapToGrid w:val="0"/>
              <w:rPr>
                <w:rFonts w:hint="eastAsia" w:ascii="宋体" w:hAnsi="宋体" w:eastAsia="宋体" w:cs="宋体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4"/>
                <w:sz w:val="21"/>
                <w:szCs w:val="21"/>
              </w:rPr>
              <w:t>附件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.1</w:t>
            </w:r>
          </w:p>
        </w:tc>
        <w:tc>
          <w:tcPr>
            <w:tcW w:w="2980" w:type="dxa"/>
            <w:noWrap w:val="0"/>
            <w:vAlign w:val="top"/>
          </w:tcPr>
          <w:p>
            <w:pPr>
              <w:snapToGrid w:val="0"/>
              <w:rPr>
                <w:rFonts w:hint="eastAsia" w:ascii="宋体" w:hAnsi="宋体" w:eastAsia="宋体" w:cs="宋体"/>
                <w:color w:val="C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人工智能后处理工作站一套：配置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肺结节、肋骨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骨折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、头颈及脑灌注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处理软件各一套。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top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980" w:type="dxa"/>
            <w:noWrap w:val="0"/>
            <w:vAlign w:val="top"/>
          </w:tcPr>
          <w:p>
            <w:pPr>
              <w:snapToGrid w:val="0"/>
              <w:rPr>
                <w:rFonts w:hint="eastAsia" w:ascii="宋体" w:hAnsi="宋体" w:eastAsia="宋体" w:cs="宋体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4"/>
                <w:sz w:val="21"/>
                <w:szCs w:val="21"/>
              </w:rPr>
              <w:t>其他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44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.1</w:t>
            </w:r>
          </w:p>
        </w:tc>
        <w:tc>
          <w:tcPr>
            <w:tcW w:w="2980" w:type="dxa"/>
            <w:noWrap w:val="0"/>
            <w:vAlign w:val="top"/>
          </w:tcPr>
          <w:p>
            <w:pPr>
              <w:snapToGrid w:val="0"/>
              <w:rPr>
                <w:rFonts w:hint="eastAsia" w:ascii="宋体" w:hAnsi="宋体" w:eastAsia="宋体" w:cs="宋体"/>
                <w:color w:val="C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机房为交钥匙工程（含机房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过道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eastAsia="zh-CN"/>
              </w:rPr>
              <w:t>医生办公室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装修、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eastAsia="zh-CN"/>
              </w:rPr>
              <w:t>监控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val="en-US" w:eastAsia="zh-CN"/>
              </w:rPr>
              <w:t>4路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val="en-US" w:eastAsia="zh-CN"/>
              </w:rPr>
              <w:t>大功率除湿机1台、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eastAsia="zh-CN"/>
              </w:rPr>
              <w:t>电子储物柜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val="en-US" w:eastAsia="zh-CN"/>
              </w:rPr>
              <w:t>专用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空调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val="en-US" w:eastAsia="zh-CN"/>
              </w:rPr>
              <w:t>3台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、防护、环评、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eastAsia="zh-CN"/>
              </w:rPr>
              <w:t>预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控评、电脑桌椅及复印机一体化打印机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eastAsia="zh-CN"/>
              </w:rPr>
              <w:t>及负责连接医院信息系统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等）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3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980" w:type="dxa"/>
            <w:noWrap w:val="0"/>
            <w:vAlign w:val="top"/>
          </w:tcPr>
          <w:p>
            <w:pPr>
              <w:snapToGrid w:val="0"/>
              <w:rPr>
                <w:rFonts w:hint="eastAsia" w:ascii="宋体" w:hAnsi="宋体" w:eastAsia="宋体" w:cs="宋体"/>
                <w:b/>
                <w:bCs/>
                <w:kern w:val="24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4"/>
                <w:sz w:val="21"/>
                <w:szCs w:val="21"/>
              </w:rPr>
              <w:t>高压注射器一台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产品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需符合临床使用科室需求）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.1</w:t>
            </w:r>
          </w:p>
        </w:tc>
        <w:tc>
          <w:tcPr>
            <w:tcW w:w="2980" w:type="dxa"/>
            <w:noWrap w:val="0"/>
            <w:vAlign w:val="top"/>
          </w:tcPr>
          <w:p>
            <w:pPr>
              <w:snapToGrid w:val="0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3个造影通道（2个造影剂 ，1个生理盐水）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.2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宋体" w:hAnsi="宋体" w:eastAsia="宋体" w:cs="宋体"/>
                <w:color w:val="C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注射时项≥40个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2980" w:type="dxa"/>
            <w:noWrap w:val="0"/>
            <w:vAlign w:val="top"/>
          </w:tcPr>
          <w:p>
            <w:pPr>
              <w:snapToGrid w:val="0"/>
              <w:rPr>
                <w:rFonts w:hint="eastAsia" w:ascii="宋体" w:hAnsi="宋体" w:eastAsia="宋体" w:cs="宋体"/>
                <w:b/>
                <w:bCs/>
                <w:kern w:val="24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4"/>
                <w:sz w:val="21"/>
                <w:szCs w:val="21"/>
              </w:rPr>
              <w:t>图文报告工作站一套</w:t>
            </w:r>
            <w:r>
              <w:rPr>
                <w:rFonts w:hint="eastAsia" w:ascii="宋体" w:hAnsi="宋体" w:eastAsia="宋体" w:cs="宋体"/>
                <w:b/>
                <w:bCs/>
                <w:kern w:val="24"/>
                <w:sz w:val="21"/>
                <w:szCs w:val="21"/>
                <w:lang w:eastAsia="zh-CN"/>
              </w:rPr>
              <w:t>，双屏显示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26</w:t>
            </w:r>
          </w:p>
        </w:tc>
        <w:tc>
          <w:tcPr>
            <w:tcW w:w="2980" w:type="dxa"/>
            <w:noWrap w:val="0"/>
            <w:vAlign w:val="top"/>
          </w:tcPr>
          <w:p>
            <w:pPr>
              <w:snapToGrid w:val="0"/>
              <w:rPr>
                <w:rFonts w:hint="eastAsia" w:ascii="宋体" w:hAnsi="宋体" w:eastAsia="宋体" w:cs="宋体"/>
                <w:b/>
                <w:bCs/>
                <w:kern w:val="24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4"/>
                <w:sz w:val="21"/>
                <w:szCs w:val="21"/>
              </w:rPr>
              <w:t>医用显示器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产品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需符合临床使用科室需求）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.1</w:t>
            </w:r>
          </w:p>
        </w:tc>
        <w:tc>
          <w:tcPr>
            <w:tcW w:w="2980" w:type="dxa"/>
            <w:noWrap w:val="0"/>
            <w:vAlign w:val="top"/>
          </w:tcPr>
          <w:p>
            <w:pPr>
              <w:snapToGrid w:val="0"/>
              <w:rPr>
                <w:rFonts w:hint="eastAsia" w:ascii="宋体" w:hAnsi="宋体" w:eastAsia="宋体" w:cs="宋体"/>
                <w:b/>
                <w:bCs/>
                <w:kern w:val="24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4"/>
                <w:sz w:val="21"/>
                <w:szCs w:val="21"/>
                <w:lang w:eastAsia="zh-CN"/>
              </w:rPr>
              <w:t>3M医用显示器</w:t>
            </w:r>
            <w:r>
              <w:rPr>
                <w:rFonts w:hint="eastAsia" w:ascii="宋体" w:hAnsi="宋体" w:eastAsia="宋体" w:cs="宋体"/>
                <w:b w:val="0"/>
                <w:bCs w:val="0"/>
                <w:kern w:val="24"/>
                <w:sz w:val="21"/>
                <w:szCs w:val="21"/>
                <w:lang w:val="en-US" w:eastAsia="zh-CN"/>
              </w:rPr>
              <w:t>3台</w:t>
            </w:r>
            <w:r>
              <w:rPr>
                <w:rFonts w:hint="eastAsia" w:ascii="宋体" w:hAnsi="宋体" w:eastAsia="宋体" w:cs="宋体"/>
                <w:b w:val="0"/>
                <w:bCs w:val="0"/>
                <w:kern w:val="24"/>
                <w:sz w:val="21"/>
                <w:szCs w:val="21"/>
                <w:lang w:eastAsia="zh-CN"/>
              </w:rPr>
              <w:t>：尺寸≥21.3英寸，分辨率≥2048×1536，支持一键截屏，健康提醒功能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26.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</w:t>
            </w:r>
          </w:p>
        </w:tc>
        <w:tc>
          <w:tcPr>
            <w:tcW w:w="2980" w:type="dxa"/>
            <w:noWrap w:val="0"/>
            <w:vAlign w:val="top"/>
          </w:tcPr>
          <w:p>
            <w:pPr>
              <w:snapToGrid w:val="0"/>
              <w:rPr>
                <w:rFonts w:hint="eastAsia" w:ascii="宋体" w:hAnsi="宋体" w:eastAsia="宋体" w:cs="宋体"/>
                <w:b/>
                <w:bCs/>
                <w:kern w:val="24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4"/>
                <w:sz w:val="21"/>
                <w:szCs w:val="21"/>
                <w:lang w:eastAsia="zh-CN"/>
              </w:rPr>
              <w:t>6M医用显示器</w:t>
            </w:r>
            <w:r>
              <w:rPr>
                <w:rFonts w:hint="eastAsia" w:ascii="宋体" w:hAnsi="宋体" w:eastAsia="宋体" w:cs="宋体"/>
                <w:b w:val="0"/>
                <w:bCs w:val="0"/>
                <w:kern w:val="24"/>
                <w:sz w:val="21"/>
                <w:szCs w:val="21"/>
                <w:lang w:val="en-US" w:eastAsia="zh-CN"/>
              </w:rPr>
              <w:t>1台</w:t>
            </w:r>
            <w:r>
              <w:rPr>
                <w:rFonts w:hint="eastAsia" w:ascii="宋体" w:hAnsi="宋体" w:eastAsia="宋体" w:cs="宋体"/>
                <w:b w:val="0"/>
                <w:bCs w:val="0"/>
                <w:kern w:val="24"/>
                <w:sz w:val="21"/>
                <w:szCs w:val="21"/>
                <w:lang w:eastAsia="zh-CN"/>
              </w:rPr>
              <w:t>：分辨率≥3280×2048，尺寸≥30英寸，亮度≥1300 cd/m2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27</w:t>
            </w:r>
          </w:p>
        </w:tc>
        <w:tc>
          <w:tcPr>
            <w:tcW w:w="2980" w:type="dxa"/>
            <w:noWrap w:val="0"/>
            <w:vAlign w:val="top"/>
          </w:tcPr>
          <w:p>
            <w:pPr>
              <w:snapToGrid w:val="0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标准医学影像工作台2套：规格1.5*0.75M，电动升降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产品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需符合临床使用科室需求）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28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宋体" w:hAnsi="宋体" w:eastAsia="宋体" w:cs="宋体"/>
                <w:b/>
                <w:bCs/>
                <w:color w:val="C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Cs/>
                <w:spacing w:val="6"/>
                <w:kern w:val="2"/>
                <w:sz w:val="21"/>
                <w:szCs w:val="21"/>
                <w:highlight w:val="none"/>
                <w:lang w:val="zh-CN" w:eastAsia="zh-CN" w:bidi="ar-SA"/>
              </w:rPr>
              <w:t>空气消毒机</w:t>
            </w:r>
            <w:r>
              <w:rPr>
                <w:rFonts w:hint="eastAsia" w:cs="Times New Roman" w:eastAsiaTheme="minorEastAsia"/>
                <w:bCs/>
                <w:spacing w:val="6"/>
                <w:kern w:val="2"/>
                <w:sz w:val="21"/>
                <w:szCs w:val="21"/>
                <w:highlight w:val="none"/>
                <w:lang w:val="en-US" w:eastAsia="zh-CN" w:bidi="ar-SA"/>
              </w:rPr>
              <w:t>2台（移动和固定各一台）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29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宋体" w:hAnsi="宋体" w:eastAsia="宋体" w:cs="宋体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4"/>
                <w:sz w:val="21"/>
                <w:szCs w:val="21"/>
                <w:lang w:eastAsia="zh-CN"/>
              </w:rPr>
              <w:t>主机及后处理工作站</w:t>
            </w:r>
            <w:r>
              <w:rPr>
                <w:rFonts w:hint="eastAsia" w:ascii="宋体" w:hAnsi="宋体" w:eastAsia="宋体" w:cs="宋体"/>
                <w:b/>
                <w:bCs/>
                <w:kern w:val="24"/>
                <w:sz w:val="21"/>
                <w:szCs w:val="21"/>
              </w:rPr>
              <w:t>UPS</w:t>
            </w:r>
            <w:r>
              <w:rPr>
                <w:rFonts w:hint="eastAsia" w:ascii="宋体" w:hAnsi="宋体" w:eastAsia="宋体" w:cs="宋体"/>
                <w:b/>
                <w:bCs/>
                <w:kern w:val="24"/>
                <w:sz w:val="21"/>
                <w:szCs w:val="21"/>
                <w:lang w:eastAsia="zh-CN"/>
              </w:rPr>
              <w:t>≥30分钟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4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宋体" w:hAnsi="宋体" w:eastAsia="宋体" w:cs="宋体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防护用品：成人</w:t>
            </w:r>
            <w:r>
              <w:rPr>
                <w:rFonts w:hint="eastAsia" w:ascii="宋体" w:hAnsi="宋体" w:eastAsia="宋体" w:cs="宋体"/>
                <w:b/>
                <w:bCs/>
                <w:kern w:val="24"/>
                <w:sz w:val="21"/>
                <w:szCs w:val="21"/>
              </w:rPr>
              <w:t>铅衣、铅毯各一套；铅帽、铅围脖、铅眼镜各三套；儿童防护用品一套</w:t>
            </w:r>
            <w:r>
              <w:rPr>
                <w:rFonts w:hint="eastAsia" w:ascii="宋体" w:hAnsi="宋体" w:cs="宋体"/>
                <w:b/>
                <w:bCs/>
                <w:kern w:val="24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4"/>
                <w:sz w:val="21"/>
                <w:szCs w:val="21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kern w:val="24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宋体" w:hAnsi="宋体" w:eastAsia="宋体" w:cs="宋体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4"/>
                <w:sz w:val="21"/>
                <w:szCs w:val="21"/>
              </w:rPr>
              <w:t>冷光3联可调光观片灯一个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4"/>
                <w:sz w:val="21"/>
                <w:szCs w:val="21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kern w:val="24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宋体" w:hAnsi="宋体" w:eastAsia="宋体" w:cs="宋体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4"/>
                <w:sz w:val="21"/>
                <w:szCs w:val="21"/>
              </w:rPr>
              <w:t>投影仪一套，符合影像教学使用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492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4"/>
                <w:sz w:val="21"/>
                <w:szCs w:val="21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kern w:val="24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980" w:type="dxa"/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宋体" w:hAnsi="宋体" w:eastAsia="宋体" w:cs="宋体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4"/>
                <w:sz w:val="21"/>
                <w:szCs w:val="21"/>
              </w:rPr>
              <w:t>医技护分批次进修学习</w:t>
            </w:r>
          </w:p>
        </w:tc>
        <w:tc>
          <w:tcPr>
            <w:tcW w:w="5100" w:type="dxa"/>
            <w:noWrap w:val="0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具备</w:t>
            </w:r>
          </w:p>
        </w:tc>
      </w:tr>
    </w:tbl>
    <w:p/>
    <w:sectPr>
      <w:pgSz w:w="11906" w:h="16838"/>
      <w:pgMar w:top="1701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zMzE4MzlkOWU2NmMyNTg1NzE5ZGQzYjFhYWNkMjYifQ=="/>
  </w:docVars>
  <w:rsids>
    <w:rsidRoot w:val="28E01913"/>
    <w:rsid w:val="28E01913"/>
    <w:rsid w:val="31CD1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eastAsia="仿宋_GB2312"/>
      <w:kern w:val="2"/>
      <w:sz w:val="28"/>
      <w:szCs w:val="30"/>
    </w:rPr>
  </w:style>
  <w:style w:type="paragraph" w:customStyle="1" w:styleId="3">
    <w:name w:val="style4"/>
    <w:basedOn w:val="1"/>
    <w:next w:val="4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4">
    <w:name w:val="2"/>
    <w:next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2024-11-25T00:49:00Z</dcterms:created>
  <dc:creator>时光</dc:creator>
  <cp:lastModifiedBy>Administrator</cp:lastModifiedBy>
  <dcterms:modified xsi:type="dcterms:W3CDTF">2024-11-29T10:14:57Z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  <property fmtid="{D5CDD505-2E9C-101B-9397-08002B2CF9AE}" pid="3" name="ICV">
    <vt:lpwstr>8BD31DF9BFC2401E88076FEA024BA550_11</vt:lpwstr>
  </property>
</Properties>
</file>