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3B4534">
      <w:pPr>
        <w:pStyle w:val="2"/>
        <w:keepNext/>
        <w:keepLines/>
        <w:pageBreakBefore w:val="0"/>
        <w:widowControl w:val="0"/>
        <w:kinsoku/>
        <w:wordWrap/>
        <w:overflowPunct/>
        <w:topLinePunct w:val="0"/>
        <w:autoSpaceDE/>
        <w:autoSpaceDN/>
        <w:bidi w:val="0"/>
        <w:adjustRightInd/>
        <w:snapToGrid/>
        <w:spacing w:before="260" w:after="200" w:line="15" w:lineRule="auto"/>
        <w:jc w:val="center"/>
        <w:textAlignment w:val="auto"/>
        <w:rPr>
          <w:rFonts w:hint="eastAsia"/>
          <w:sz w:val="44"/>
          <w:szCs w:val="44"/>
          <w:lang w:val="en-US" w:eastAsia="zh-CN"/>
        </w:rPr>
      </w:pPr>
      <w:r>
        <w:rPr>
          <w:rFonts w:hint="eastAsia"/>
          <w:sz w:val="44"/>
          <w:szCs w:val="44"/>
          <w:lang w:val="en-US" w:eastAsia="zh-CN"/>
        </w:rPr>
        <w:t>珠江路社区卫生服务中心</w:t>
      </w:r>
    </w:p>
    <w:p w14:paraId="10BAE65A">
      <w:pPr>
        <w:pStyle w:val="2"/>
        <w:keepNext/>
        <w:keepLines/>
        <w:pageBreakBefore w:val="0"/>
        <w:widowControl w:val="0"/>
        <w:kinsoku/>
        <w:wordWrap/>
        <w:overflowPunct/>
        <w:topLinePunct w:val="0"/>
        <w:autoSpaceDE/>
        <w:autoSpaceDN/>
        <w:bidi w:val="0"/>
        <w:adjustRightInd/>
        <w:snapToGrid/>
        <w:spacing w:before="260" w:after="200" w:line="15" w:lineRule="auto"/>
        <w:jc w:val="center"/>
        <w:textAlignment w:val="auto"/>
        <w:rPr>
          <w:rFonts w:hint="eastAsia"/>
          <w:lang w:val="en-US" w:eastAsia="zh-CN"/>
        </w:rPr>
      </w:pPr>
      <w:r>
        <w:rPr>
          <w:rFonts w:hint="eastAsia"/>
          <w:sz w:val="44"/>
          <w:szCs w:val="44"/>
          <w:lang w:val="en-US" w:eastAsia="zh-CN"/>
        </w:rPr>
        <w:t>采购电子发票系统功能清单</w:t>
      </w:r>
    </w:p>
    <w:p w14:paraId="50B4DF1A">
      <w:pPr>
        <w:rPr>
          <w:rFonts w:hint="default"/>
          <w:lang w:val="en-US" w:eastAsia="zh-CN"/>
        </w:rPr>
      </w:pPr>
      <w:r>
        <w:rPr>
          <w:rFonts w:hint="eastAsia"/>
          <w:lang w:val="en-US" w:eastAsia="zh-CN"/>
        </w:rPr>
        <w:t>珠江路社区卫生服务中心是非营利性医疗机构，需要和河南省财政厅电子发票开票平台做对接。</w:t>
      </w:r>
    </w:p>
    <w:tbl>
      <w:tblPr>
        <w:tblStyle w:val="4"/>
        <w:tblW w:w="9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1364"/>
        <w:gridCol w:w="2447"/>
        <w:gridCol w:w="4760"/>
      </w:tblGrid>
      <w:tr w14:paraId="68279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684" w:type="dxa"/>
            <w:vAlign w:val="center"/>
          </w:tcPr>
          <w:p w14:paraId="6B67C016">
            <w:pPr>
              <w:jc w:val="center"/>
              <w:rPr>
                <w:rFonts w:hint="eastAsia" w:eastAsiaTheme="minorEastAsia"/>
                <w:vertAlign w:val="baseline"/>
                <w:lang w:val="en-US" w:eastAsia="zh-CN"/>
              </w:rPr>
            </w:pPr>
            <w:r>
              <w:rPr>
                <w:rFonts w:hint="eastAsia"/>
                <w:vertAlign w:val="baseline"/>
                <w:lang w:val="en-US" w:eastAsia="zh-CN"/>
              </w:rPr>
              <w:t>序号</w:t>
            </w:r>
          </w:p>
        </w:tc>
        <w:tc>
          <w:tcPr>
            <w:tcW w:w="1364" w:type="dxa"/>
            <w:vAlign w:val="center"/>
          </w:tcPr>
          <w:p w14:paraId="4759C469">
            <w:pPr>
              <w:jc w:val="center"/>
              <w:rPr>
                <w:rFonts w:hint="default" w:eastAsiaTheme="minorEastAsia"/>
                <w:vertAlign w:val="baseline"/>
                <w:lang w:val="en-US" w:eastAsia="zh-CN"/>
              </w:rPr>
            </w:pPr>
            <w:r>
              <w:rPr>
                <w:rFonts w:hint="eastAsia"/>
                <w:vertAlign w:val="baseline"/>
                <w:lang w:val="en-US" w:eastAsia="zh-CN"/>
              </w:rPr>
              <w:t>模块名称</w:t>
            </w:r>
          </w:p>
        </w:tc>
        <w:tc>
          <w:tcPr>
            <w:tcW w:w="2447" w:type="dxa"/>
            <w:vAlign w:val="center"/>
          </w:tcPr>
          <w:p w14:paraId="00DCF712">
            <w:pPr>
              <w:jc w:val="center"/>
              <w:rPr>
                <w:rFonts w:hint="default" w:eastAsiaTheme="minorEastAsia"/>
                <w:vertAlign w:val="baseline"/>
                <w:lang w:val="en-US" w:eastAsia="zh-CN"/>
              </w:rPr>
            </w:pPr>
            <w:r>
              <w:rPr>
                <w:rFonts w:hint="eastAsia"/>
                <w:vertAlign w:val="baseline"/>
                <w:lang w:val="en-US" w:eastAsia="zh-CN"/>
              </w:rPr>
              <w:t>模块功能清单</w:t>
            </w:r>
          </w:p>
        </w:tc>
        <w:tc>
          <w:tcPr>
            <w:tcW w:w="4760" w:type="dxa"/>
            <w:vAlign w:val="center"/>
          </w:tcPr>
          <w:p w14:paraId="2A964C78">
            <w:pPr>
              <w:jc w:val="center"/>
              <w:rPr>
                <w:rFonts w:hint="default"/>
                <w:vertAlign w:val="baseline"/>
                <w:lang w:val="en-US" w:eastAsia="zh-CN"/>
              </w:rPr>
            </w:pPr>
            <w:r>
              <w:rPr>
                <w:rFonts w:hint="eastAsia"/>
                <w:vertAlign w:val="baseline"/>
                <w:lang w:val="en-US" w:eastAsia="zh-CN"/>
              </w:rPr>
              <w:t>详细技术参数</w:t>
            </w:r>
          </w:p>
        </w:tc>
      </w:tr>
      <w:tr w14:paraId="25B6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684" w:type="dxa"/>
            <w:vMerge w:val="restart"/>
            <w:shd w:val="clear" w:color="auto" w:fill="auto"/>
            <w:vAlign w:val="center"/>
          </w:tcPr>
          <w:p w14:paraId="4B796C8E">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w:t>
            </w:r>
          </w:p>
        </w:tc>
        <w:tc>
          <w:tcPr>
            <w:tcW w:w="1364" w:type="dxa"/>
            <w:vMerge w:val="restart"/>
            <w:shd w:val="clear" w:color="auto" w:fill="auto"/>
            <w:vAlign w:val="center"/>
          </w:tcPr>
          <w:p w14:paraId="1C5D4E4B">
            <w:pPr>
              <w:jc w:val="both"/>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电子发票平台</w:t>
            </w:r>
          </w:p>
        </w:tc>
        <w:tc>
          <w:tcPr>
            <w:tcW w:w="2447" w:type="dxa"/>
            <w:shd w:val="clear" w:color="auto" w:fill="auto"/>
            <w:vAlign w:val="center"/>
          </w:tcPr>
          <w:p w14:paraId="27FF38BD">
            <w:pPr>
              <w:jc w:val="both"/>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电子发票签章</w:t>
            </w:r>
          </w:p>
        </w:tc>
        <w:tc>
          <w:tcPr>
            <w:tcW w:w="4760" w:type="dxa"/>
            <w:shd w:val="clear" w:color="auto" w:fill="auto"/>
            <w:vAlign w:val="center"/>
          </w:tcPr>
          <w:p w14:paraId="7B835E35">
            <w:pPr>
              <w:jc w:val="both"/>
              <w:rPr>
                <w:rFonts w:hint="default"/>
                <w:vertAlign w:val="baseline"/>
                <w:lang w:val="en-US" w:eastAsia="zh-CN"/>
              </w:rPr>
            </w:pPr>
            <w:r>
              <w:rPr>
                <w:rFonts w:hint="eastAsia"/>
                <w:vertAlign w:val="baseline"/>
                <w:lang w:val="en-US" w:eastAsia="zh-CN"/>
              </w:rPr>
              <w:t>能够给医院提供河南省财政厅认可的电子发票签章。</w:t>
            </w:r>
          </w:p>
        </w:tc>
      </w:tr>
      <w:tr w14:paraId="1D245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684" w:type="dxa"/>
            <w:vMerge w:val="continue"/>
            <w:shd w:val="clear" w:color="auto" w:fill="auto"/>
            <w:vAlign w:val="center"/>
          </w:tcPr>
          <w:p w14:paraId="342AADA8">
            <w:pPr>
              <w:jc w:val="center"/>
              <w:rPr>
                <w:rFonts w:hint="eastAsia"/>
                <w:vertAlign w:val="baseline"/>
                <w:lang w:val="en-US" w:eastAsia="zh-CN"/>
              </w:rPr>
            </w:pPr>
          </w:p>
        </w:tc>
        <w:tc>
          <w:tcPr>
            <w:tcW w:w="1364" w:type="dxa"/>
            <w:vMerge w:val="continue"/>
            <w:shd w:val="clear" w:color="auto" w:fill="auto"/>
            <w:vAlign w:val="center"/>
          </w:tcPr>
          <w:p w14:paraId="362EF7D8">
            <w:pPr>
              <w:jc w:val="both"/>
              <w:rPr>
                <w:rFonts w:hint="eastAsia"/>
                <w:vertAlign w:val="baseline"/>
              </w:rPr>
            </w:pPr>
          </w:p>
        </w:tc>
        <w:tc>
          <w:tcPr>
            <w:tcW w:w="2447" w:type="dxa"/>
            <w:shd w:val="clear" w:color="auto" w:fill="auto"/>
            <w:vAlign w:val="center"/>
          </w:tcPr>
          <w:p w14:paraId="458F258E">
            <w:pPr>
              <w:jc w:val="both"/>
              <w:rPr>
                <w:rFonts w:hint="default" w:eastAsiaTheme="minorEastAsia"/>
                <w:vertAlign w:val="baseline"/>
                <w:lang w:val="en-US" w:eastAsia="zh-CN"/>
              </w:rPr>
            </w:pPr>
            <w:r>
              <w:rPr>
                <w:rFonts w:hint="eastAsia"/>
                <w:vertAlign w:val="baseline"/>
                <w:lang w:val="en-US" w:eastAsia="zh-CN"/>
              </w:rPr>
              <w:t>开电子票据</w:t>
            </w:r>
          </w:p>
        </w:tc>
        <w:tc>
          <w:tcPr>
            <w:tcW w:w="4760" w:type="dxa"/>
            <w:shd w:val="clear" w:color="auto" w:fill="auto"/>
            <w:vAlign w:val="center"/>
          </w:tcPr>
          <w:p w14:paraId="5DB637DA">
            <w:pPr>
              <w:jc w:val="both"/>
              <w:rPr>
                <w:rFonts w:hint="default" w:eastAsiaTheme="minorEastAsia"/>
                <w:vertAlign w:val="baseline"/>
                <w:lang w:val="en-US" w:eastAsia="zh-CN"/>
              </w:rPr>
            </w:pPr>
            <w:r>
              <w:rPr>
                <w:rFonts w:hint="eastAsia"/>
                <w:vertAlign w:val="baseline"/>
                <w:lang w:val="en-US" w:eastAsia="zh-CN"/>
              </w:rPr>
              <w:t>接收医院HIS系统的开票请求，完成开票信息的校验，并且上传开票信息到财政票据管理系统完成开具电子票据。</w:t>
            </w:r>
          </w:p>
        </w:tc>
      </w:tr>
      <w:tr w14:paraId="3996E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684" w:type="dxa"/>
            <w:vMerge w:val="continue"/>
            <w:shd w:val="clear" w:color="auto" w:fill="auto"/>
            <w:vAlign w:val="center"/>
          </w:tcPr>
          <w:p w14:paraId="656A2204">
            <w:pPr>
              <w:jc w:val="center"/>
              <w:rPr>
                <w:rFonts w:hint="eastAsia"/>
                <w:vertAlign w:val="baseline"/>
                <w:lang w:val="en-US" w:eastAsia="zh-CN"/>
              </w:rPr>
            </w:pPr>
          </w:p>
        </w:tc>
        <w:tc>
          <w:tcPr>
            <w:tcW w:w="1364" w:type="dxa"/>
            <w:vMerge w:val="continue"/>
            <w:shd w:val="clear" w:color="auto" w:fill="auto"/>
            <w:vAlign w:val="center"/>
          </w:tcPr>
          <w:p w14:paraId="2B7FD06A">
            <w:pPr>
              <w:jc w:val="both"/>
              <w:rPr>
                <w:rFonts w:hint="eastAsia"/>
                <w:vertAlign w:val="baseline"/>
              </w:rPr>
            </w:pPr>
          </w:p>
        </w:tc>
        <w:tc>
          <w:tcPr>
            <w:tcW w:w="2447" w:type="dxa"/>
            <w:shd w:val="clear" w:color="auto" w:fill="auto"/>
            <w:vAlign w:val="center"/>
          </w:tcPr>
          <w:p w14:paraId="6FC09492">
            <w:pPr>
              <w:jc w:val="both"/>
              <w:rPr>
                <w:rFonts w:hint="default"/>
                <w:vertAlign w:val="baseline"/>
                <w:lang w:val="en-US" w:eastAsia="zh-CN"/>
              </w:rPr>
            </w:pPr>
            <w:r>
              <w:rPr>
                <w:rFonts w:hint="eastAsia"/>
                <w:vertAlign w:val="baseline"/>
                <w:lang w:val="en-US" w:eastAsia="zh-CN"/>
              </w:rPr>
              <w:t>开具红冲票据</w:t>
            </w:r>
          </w:p>
        </w:tc>
        <w:tc>
          <w:tcPr>
            <w:tcW w:w="4760" w:type="dxa"/>
            <w:shd w:val="clear" w:color="auto" w:fill="auto"/>
            <w:vAlign w:val="center"/>
          </w:tcPr>
          <w:p w14:paraId="24E342B2">
            <w:pPr>
              <w:jc w:val="both"/>
              <w:rPr>
                <w:rFonts w:hint="default"/>
                <w:vertAlign w:val="baseline"/>
                <w:lang w:val="en-US" w:eastAsia="zh-CN"/>
              </w:rPr>
            </w:pPr>
            <w:r>
              <w:rPr>
                <w:rFonts w:hint="eastAsia"/>
                <w:vertAlign w:val="baseline"/>
                <w:lang w:val="en-US" w:eastAsia="zh-CN"/>
              </w:rPr>
              <w:t>接收医院HIS系统的红冲票据请求，将红冲票据信息上传至财政票据管理系统将已开具的电子票据进行作废。</w:t>
            </w:r>
          </w:p>
        </w:tc>
      </w:tr>
      <w:tr w14:paraId="28CCF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684" w:type="dxa"/>
            <w:vMerge w:val="continue"/>
            <w:shd w:val="clear" w:color="auto" w:fill="auto"/>
            <w:vAlign w:val="center"/>
          </w:tcPr>
          <w:p w14:paraId="53DB4988">
            <w:pPr>
              <w:jc w:val="center"/>
              <w:rPr>
                <w:rFonts w:hint="eastAsia"/>
                <w:vertAlign w:val="baseline"/>
                <w:lang w:val="en-US" w:eastAsia="zh-CN"/>
              </w:rPr>
            </w:pPr>
          </w:p>
        </w:tc>
        <w:tc>
          <w:tcPr>
            <w:tcW w:w="1364" w:type="dxa"/>
            <w:vMerge w:val="continue"/>
            <w:shd w:val="clear" w:color="auto" w:fill="auto"/>
            <w:vAlign w:val="center"/>
          </w:tcPr>
          <w:p w14:paraId="46D7473C">
            <w:pPr>
              <w:jc w:val="both"/>
              <w:rPr>
                <w:rFonts w:hint="eastAsia"/>
                <w:vertAlign w:val="baseline"/>
              </w:rPr>
            </w:pPr>
          </w:p>
        </w:tc>
        <w:tc>
          <w:tcPr>
            <w:tcW w:w="2447" w:type="dxa"/>
            <w:shd w:val="clear" w:color="auto" w:fill="auto"/>
            <w:vAlign w:val="center"/>
          </w:tcPr>
          <w:p w14:paraId="6E52455B">
            <w:pPr>
              <w:jc w:val="both"/>
              <w:rPr>
                <w:rFonts w:hint="eastAsia"/>
                <w:vertAlign w:val="baseline"/>
                <w:lang w:val="en-US" w:eastAsia="zh-CN"/>
              </w:rPr>
            </w:pPr>
            <w:r>
              <w:rPr>
                <w:rFonts w:hint="eastAsia"/>
                <w:vertAlign w:val="baseline"/>
                <w:lang w:val="en-US" w:eastAsia="zh-CN"/>
              </w:rPr>
              <w:t>开票结果查询</w:t>
            </w:r>
          </w:p>
        </w:tc>
        <w:tc>
          <w:tcPr>
            <w:tcW w:w="4760" w:type="dxa"/>
            <w:shd w:val="clear" w:color="auto" w:fill="auto"/>
            <w:vAlign w:val="center"/>
          </w:tcPr>
          <w:p w14:paraId="6BC82D42">
            <w:pPr>
              <w:jc w:val="both"/>
              <w:rPr>
                <w:rFonts w:hint="default"/>
                <w:vertAlign w:val="baseline"/>
                <w:lang w:val="en-US" w:eastAsia="zh-CN"/>
              </w:rPr>
            </w:pPr>
            <w:r>
              <w:rPr>
                <w:rFonts w:hint="eastAsia"/>
                <w:vertAlign w:val="baseline"/>
                <w:lang w:val="en-US" w:eastAsia="zh-CN"/>
              </w:rPr>
              <w:t>接收医院HIS系统查询开票结果的请求，将查询参数上传至财政票据管理系统，接收财政票据管理系统的查询结果返回给HIS系统。</w:t>
            </w:r>
          </w:p>
        </w:tc>
      </w:tr>
      <w:tr w14:paraId="5C813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684" w:type="dxa"/>
            <w:vMerge w:val="continue"/>
            <w:shd w:val="clear" w:color="auto" w:fill="auto"/>
            <w:vAlign w:val="center"/>
          </w:tcPr>
          <w:p w14:paraId="7D6C21D5">
            <w:pPr>
              <w:jc w:val="center"/>
              <w:rPr>
                <w:rFonts w:hint="eastAsia"/>
                <w:vertAlign w:val="baseline"/>
                <w:lang w:val="en-US" w:eastAsia="zh-CN"/>
              </w:rPr>
            </w:pPr>
          </w:p>
        </w:tc>
        <w:tc>
          <w:tcPr>
            <w:tcW w:w="1364" w:type="dxa"/>
            <w:vMerge w:val="continue"/>
            <w:shd w:val="clear" w:color="auto" w:fill="auto"/>
            <w:vAlign w:val="center"/>
          </w:tcPr>
          <w:p w14:paraId="611F02AA">
            <w:pPr>
              <w:jc w:val="both"/>
              <w:rPr>
                <w:rFonts w:hint="eastAsia"/>
                <w:vertAlign w:val="baseline"/>
              </w:rPr>
            </w:pPr>
          </w:p>
        </w:tc>
        <w:tc>
          <w:tcPr>
            <w:tcW w:w="2447" w:type="dxa"/>
            <w:shd w:val="clear" w:color="auto" w:fill="auto"/>
            <w:vAlign w:val="center"/>
          </w:tcPr>
          <w:p w14:paraId="436627C8">
            <w:pPr>
              <w:jc w:val="both"/>
              <w:rPr>
                <w:rFonts w:hint="eastAsia"/>
                <w:vertAlign w:val="baseline"/>
                <w:lang w:val="en-US" w:eastAsia="zh-CN"/>
              </w:rPr>
            </w:pPr>
            <w:r>
              <w:rPr>
                <w:rFonts w:hint="eastAsia"/>
                <w:vertAlign w:val="baseline"/>
                <w:lang w:val="en-US" w:eastAsia="zh-CN"/>
              </w:rPr>
              <w:t>换开纸质票据</w:t>
            </w:r>
          </w:p>
        </w:tc>
        <w:tc>
          <w:tcPr>
            <w:tcW w:w="4760" w:type="dxa"/>
            <w:shd w:val="clear" w:color="auto" w:fill="auto"/>
            <w:vAlign w:val="center"/>
          </w:tcPr>
          <w:p w14:paraId="1F6C83FD">
            <w:pPr>
              <w:jc w:val="both"/>
              <w:rPr>
                <w:rFonts w:hint="eastAsia"/>
                <w:vertAlign w:val="baseline"/>
                <w:lang w:val="en-US" w:eastAsia="zh-CN"/>
              </w:rPr>
            </w:pPr>
            <w:r>
              <w:rPr>
                <w:rFonts w:hint="eastAsia"/>
                <w:vertAlign w:val="baseline"/>
                <w:lang w:val="en-US" w:eastAsia="zh-CN"/>
              </w:rPr>
              <w:t>支持电子票据开具成功后换开纸质票据。</w:t>
            </w:r>
          </w:p>
        </w:tc>
      </w:tr>
      <w:tr w14:paraId="2BD7D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684" w:type="dxa"/>
            <w:vMerge w:val="continue"/>
            <w:shd w:val="clear" w:color="auto" w:fill="auto"/>
            <w:vAlign w:val="center"/>
          </w:tcPr>
          <w:p w14:paraId="2F21BB4C">
            <w:pPr>
              <w:jc w:val="center"/>
              <w:rPr>
                <w:rFonts w:hint="eastAsia"/>
                <w:vertAlign w:val="baseline"/>
                <w:lang w:val="en-US" w:eastAsia="zh-CN"/>
              </w:rPr>
            </w:pPr>
          </w:p>
        </w:tc>
        <w:tc>
          <w:tcPr>
            <w:tcW w:w="1364" w:type="dxa"/>
            <w:vMerge w:val="continue"/>
            <w:shd w:val="clear" w:color="auto" w:fill="auto"/>
            <w:vAlign w:val="center"/>
          </w:tcPr>
          <w:p w14:paraId="4CADB03F">
            <w:pPr>
              <w:jc w:val="both"/>
              <w:rPr>
                <w:rFonts w:hint="eastAsia"/>
                <w:vertAlign w:val="baseline"/>
              </w:rPr>
            </w:pPr>
          </w:p>
        </w:tc>
        <w:tc>
          <w:tcPr>
            <w:tcW w:w="2447" w:type="dxa"/>
            <w:shd w:val="clear" w:color="auto" w:fill="auto"/>
            <w:vAlign w:val="center"/>
          </w:tcPr>
          <w:p w14:paraId="3A26BAF5">
            <w:pPr>
              <w:jc w:val="both"/>
              <w:rPr>
                <w:rFonts w:hint="eastAsia"/>
                <w:vertAlign w:val="baseline"/>
                <w:lang w:val="en-US" w:eastAsia="zh-CN"/>
              </w:rPr>
            </w:pPr>
            <w:r>
              <w:rPr>
                <w:rFonts w:hint="eastAsia"/>
                <w:vertAlign w:val="baseline"/>
                <w:lang w:val="en-US" w:eastAsia="zh-CN"/>
              </w:rPr>
              <w:t>作废纸质票据</w:t>
            </w:r>
          </w:p>
        </w:tc>
        <w:tc>
          <w:tcPr>
            <w:tcW w:w="4760" w:type="dxa"/>
            <w:shd w:val="clear" w:color="auto" w:fill="auto"/>
            <w:vAlign w:val="center"/>
          </w:tcPr>
          <w:p w14:paraId="231B3DFB">
            <w:pPr>
              <w:jc w:val="both"/>
              <w:rPr>
                <w:rFonts w:hint="default"/>
                <w:vertAlign w:val="baseline"/>
                <w:lang w:val="en-US" w:eastAsia="zh-CN"/>
              </w:rPr>
            </w:pPr>
            <w:r>
              <w:rPr>
                <w:rFonts w:hint="eastAsia"/>
                <w:vertAlign w:val="baseline"/>
                <w:lang w:val="en-US" w:eastAsia="zh-CN"/>
              </w:rPr>
              <w:t>支持将换开的纸质票据作废。</w:t>
            </w:r>
          </w:p>
        </w:tc>
      </w:tr>
      <w:tr w14:paraId="6F685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684" w:type="dxa"/>
            <w:vMerge w:val="continue"/>
            <w:shd w:val="clear" w:color="auto" w:fill="auto"/>
            <w:vAlign w:val="center"/>
          </w:tcPr>
          <w:p w14:paraId="18FC0501">
            <w:pPr>
              <w:jc w:val="center"/>
              <w:rPr>
                <w:rFonts w:hint="eastAsia"/>
                <w:vertAlign w:val="baseline"/>
                <w:lang w:val="en-US" w:eastAsia="zh-CN"/>
              </w:rPr>
            </w:pPr>
          </w:p>
        </w:tc>
        <w:tc>
          <w:tcPr>
            <w:tcW w:w="1364" w:type="dxa"/>
            <w:vMerge w:val="continue"/>
            <w:shd w:val="clear" w:color="auto" w:fill="auto"/>
            <w:vAlign w:val="center"/>
          </w:tcPr>
          <w:p w14:paraId="190A85DC">
            <w:pPr>
              <w:jc w:val="both"/>
              <w:rPr>
                <w:rFonts w:hint="eastAsia"/>
                <w:vertAlign w:val="baseline"/>
              </w:rPr>
            </w:pPr>
          </w:p>
        </w:tc>
        <w:tc>
          <w:tcPr>
            <w:tcW w:w="2447" w:type="dxa"/>
            <w:shd w:val="clear" w:color="auto" w:fill="auto"/>
            <w:vAlign w:val="center"/>
          </w:tcPr>
          <w:p w14:paraId="69E9CB83">
            <w:pPr>
              <w:jc w:val="both"/>
              <w:rPr>
                <w:rFonts w:hint="eastAsia"/>
                <w:vertAlign w:val="baseline"/>
                <w:lang w:val="en-US" w:eastAsia="zh-CN"/>
              </w:rPr>
            </w:pPr>
            <w:r>
              <w:rPr>
                <w:rFonts w:hint="eastAsia"/>
                <w:vertAlign w:val="baseline"/>
                <w:lang w:val="en-US" w:eastAsia="zh-CN"/>
              </w:rPr>
              <w:t>查询票号库存</w:t>
            </w:r>
          </w:p>
        </w:tc>
        <w:tc>
          <w:tcPr>
            <w:tcW w:w="4760" w:type="dxa"/>
            <w:shd w:val="clear" w:color="auto" w:fill="auto"/>
            <w:vAlign w:val="center"/>
          </w:tcPr>
          <w:p w14:paraId="266529DC">
            <w:pPr>
              <w:jc w:val="both"/>
              <w:rPr>
                <w:rFonts w:hint="default"/>
                <w:vertAlign w:val="baseline"/>
                <w:lang w:val="en-US" w:eastAsia="zh-CN"/>
              </w:rPr>
            </w:pPr>
            <w:r>
              <w:rPr>
                <w:rFonts w:hint="eastAsia"/>
                <w:vertAlign w:val="baseline"/>
                <w:lang w:val="en-US" w:eastAsia="zh-CN"/>
              </w:rPr>
              <w:t>支持HIS系统查询剩余票号数量信息。</w:t>
            </w:r>
          </w:p>
        </w:tc>
      </w:tr>
    </w:tbl>
    <w:p w14:paraId="50D4C1EA">
      <w:pPr>
        <w:rPr>
          <w:rFonts w:hint="eastAsia"/>
          <w:lang w:val="en-US" w:eastAsia="zh-CN"/>
        </w:rPr>
      </w:pPr>
    </w:p>
    <w:p w14:paraId="48CA18B8">
      <w:pPr>
        <w:rPr>
          <w:rFonts w:hint="eastAsia" w:eastAsiaTheme="minorEastAsia"/>
          <w:lang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B2325"/>
    <w:rsid w:val="14EC5F1B"/>
    <w:rsid w:val="19FF69FF"/>
    <w:rsid w:val="267A6F4A"/>
    <w:rsid w:val="27595274"/>
    <w:rsid w:val="2A6D3510"/>
    <w:rsid w:val="2B0F1914"/>
    <w:rsid w:val="301B756B"/>
    <w:rsid w:val="34A51AF9"/>
    <w:rsid w:val="3551083B"/>
    <w:rsid w:val="364639DE"/>
    <w:rsid w:val="365B6913"/>
    <w:rsid w:val="37C87FD8"/>
    <w:rsid w:val="3D0156C0"/>
    <w:rsid w:val="3DA81ED8"/>
    <w:rsid w:val="41FF4F3E"/>
    <w:rsid w:val="487970CD"/>
    <w:rsid w:val="4B7B2CFA"/>
    <w:rsid w:val="4CC4764D"/>
    <w:rsid w:val="4DF74D1B"/>
    <w:rsid w:val="560C77D2"/>
    <w:rsid w:val="5BC3784B"/>
    <w:rsid w:val="5DB949BF"/>
    <w:rsid w:val="60AA0313"/>
    <w:rsid w:val="61204131"/>
    <w:rsid w:val="616E30EF"/>
    <w:rsid w:val="660F4777"/>
    <w:rsid w:val="682C160E"/>
    <w:rsid w:val="6B817D5D"/>
    <w:rsid w:val="6BA02A3F"/>
    <w:rsid w:val="6DE90147"/>
    <w:rsid w:val="71C805F9"/>
    <w:rsid w:val="72B648F6"/>
    <w:rsid w:val="79AB4F7E"/>
    <w:rsid w:val="7AF91823"/>
    <w:rsid w:val="7C5807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21"/>
    <w:basedOn w:val="5"/>
    <w:qFormat/>
    <w:uiPriority w:val="0"/>
    <w:rPr>
      <w:rFonts w:hint="eastAsia" w:ascii="宋体" w:hAnsi="宋体" w:eastAsia="宋体" w:cs="宋体"/>
      <w:color w:val="000000"/>
      <w:sz w:val="22"/>
      <w:szCs w:val="22"/>
      <w:u w:val="none"/>
    </w:rPr>
  </w:style>
  <w:style w:type="character" w:customStyle="1" w:styleId="7">
    <w:name w:val="font31"/>
    <w:basedOn w:val="5"/>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799</Words>
  <Characters>888</Characters>
  <Lines>0</Lines>
  <Paragraphs>0</Paragraphs>
  <TotalTime>2</TotalTime>
  <ScaleCrop>false</ScaleCrop>
  <LinksUpToDate>false</LinksUpToDate>
  <CharactersWithSpaces>891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2024-11-25T02:09:00Z</dcterms:created>
  <dc:creator>Administrator</dc:creator>
  <cp:lastModifiedBy>我是传奇18637956300</cp:lastModifiedBy>
  <cp:lastPrinted>2024-12-09T01:51:00Z</cp:lastPrinted>
  <dcterms:modified xsi:type="dcterms:W3CDTF">2024-12-10T07:25:01Z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E77CAAC45DDF4C9897212748D8D28CB9_12</vt:lpwstr>
  </property>
</Properties>
</file>